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0B250" w14:textId="77777777" w:rsidR="00057433" w:rsidRPr="00057433" w:rsidRDefault="00057433" w:rsidP="00057433">
      <w:pPr>
        <w:jc w:val="center"/>
        <w:rPr>
          <w:b/>
          <w:sz w:val="20"/>
          <w:szCs w:val="20"/>
          <w:lang w:val="uk-UA"/>
        </w:rPr>
      </w:pPr>
      <w:r w:rsidRPr="00057433"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66CE8A1" wp14:editId="58357864">
            <wp:simplePos x="0" y="0"/>
            <wp:positionH relativeFrom="column">
              <wp:posOffset>2813685</wp:posOffset>
            </wp:positionH>
            <wp:positionV relativeFrom="paragraph">
              <wp:posOffset>13970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5901C" w14:textId="77777777" w:rsidR="00057433" w:rsidRPr="00057433" w:rsidRDefault="00057433" w:rsidP="00057433">
      <w:pPr>
        <w:jc w:val="center"/>
        <w:rPr>
          <w:b/>
          <w:sz w:val="28"/>
          <w:szCs w:val="28"/>
          <w:lang w:val="uk-UA"/>
        </w:rPr>
      </w:pPr>
      <w:r w:rsidRPr="00057433">
        <w:rPr>
          <w:b/>
          <w:sz w:val="28"/>
          <w:szCs w:val="28"/>
          <w:lang w:val="uk-UA"/>
        </w:rPr>
        <w:t>УКРАЇНА</w:t>
      </w:r>
    </w:p>
    <w:p w14:paraId="51267556" w14:textId="77777777" w:rsidR="00057433" w:rsidRPr="00057433" w:rsidRDefault="00057433" w:rsidP="00057433">
      <w:pPr>
        <w:jc w:val="center"/>
        <w:rPr>
          <w:b/>
          <w:sz w:val="28"/>
          <w:szCs w:val="28"/>
          <w:lang w:val="uk-UA"/>
        </w:rPr>
      </w:pPr>
      <w:r w:rsidRPr="00057433">
        <w:rPr>
          <w:b/>
          <w:sz w:val="28"/>
          <w:szCs w:val="28"/>
          <w:lang w:val="uk-UA"/>
        </w:rPr>
        <w:t>УПРАВЛІННЯ ОСВІТИ</w:t>
      </w:r>
    </w:p>
    <w:p w14:paraId="4B704520" w14:textId="77777777" w:rsidR="00057433" w:rsidRPr="00057433" w:rsidRDefault="00057433" w:rsidP="00057433">
      <w:pPr>
        <w:jc w:val="center"/>
        <w:rPr>
          <w:b/>
          <w:sz w:val="28"/>
          <w:szCs w:val="28"/>
          <w:lang w:val="uk-UA"/>
        </w:rPr>
      </w:pPr>
      <w:r w:rsidRPr="00057433">
        <w:rPr>
          <w:b/>
          <w:sz w:val="28"/>
          <w:szCs w:val="28"/>
          <w:lang w:val="uk-UA"/>
        </w:rPr>
        <w:t>ІЗЮМСЬКОЇ МІСЬКОЇ РАДИ</w:t>
      </w:r>
    </w:p>
    <w:p w14:paraId="2D18B125" w14:textId="77777777" w:rsidR="00057433" w:rsidRPr="00057433" w:rsidRDefault="00057433" w:rsidP="00057433">
      <w:pPr>
        <w:jc w:val="center"/>
        <w:rPr>
          <w:b/>
          <w:sz w:val="28"/>
          <w:szCs w:val="28"/>
          <w:lang w:val="uk-UA"/>
        </w:rPr>
      </w:pPr>
      <w:r w:rsidRPr="00057433">
        <w:rPr>
          <w:b/>
          <w:sz w:val="28"/>
          <w:szCs w:val="28"/>
          <w:lang w:val="uk-UA"/>
        </w:rPr>
        <w:t>ХАРКІВСЬКОЇ ОБЛАСТІ</w:t>
      </w:r>
    </w:p>
    <w:p w14:paraId="2750AE16" w14:textId="77777777" w:rsidR="00057433" w:rsidRPr="00057433" w:rsidRDefault="00057433" w:rsidP="00AC4E8C">
      <w:pPr>
        <w:jc w:val="center"/>
        <w:rPr>
          <w:b/>
          <w:sz w:val="28"/>
          <w:szCs w:val="28"/>
          <w:lang w:val="uk-UA"/>
        </w:rPr>
      </w:pPr>
      <w:r w:rsidRPr="00057433">
        <w:rPr>
          <w:b/>
          <w:sz w:val="28"/>
          <w:szCs w:val="28"/>
          <w:lang w:val="uk-UA"/>
        </w:rPr>
        <w:t>НАКАЗ</w:t>
      </w:r>
    </w:p>
    <w:p w14:paraId="5D334D12" w14:textId="77777777" w:rsidR="00057433" w:rsidRPr="00057433" w:rsidRDefault="00057433" w:rsidP="00057433">
      <w:pPr>
        <w:jc w:val="both"/>
        <w:rPr>
          <w:b/>
          <w:sz w:val="28"/>
          <w:szCs w:val="28"/>
          <w:lang w:val="uk-UA"/>
        </w:rPr>
      </w:pPr>
    </w:p>
    <w:p w14:paraId="14208588" w14:textId="089F5F5B" w:rsidR="00057433" w:rsidRPr="00057433" w:rsidRDefault="009E0706" w:rsidP="00057433">
      <w:pPr>
        <w:jc w:val="both"/>
        <w:rPr>
          <w:b/>
          <w:lang w:val="uk-UA"/>
        </w:rPr>
      </w:pPr>
      <w:r>
        <w:rPr>
          <w:b/>
          <w:lang w:val="uk-UA"/>
        </w:rPr>
        <w:t>11.03</w:t>
      </w:r>
      <w:r w:rsidR="00057433" w:rsidRPr="00057433">
        <w:rPr>
          <w:b/>
          <w:lang w:val="uk-UA"/>
        </w:rPr>
        <w:t>.2021</w:t>
      </w:r>
      <w:r w:rsidR="00057433" w:rsidRPr="00057433">
        <w:rPr>
          <w:b/>
          <w:lang w:val="uk-UA"/>
        </w:rPr>
        <w:tab/>
      </w:r>
      <w:r w:rsidR="00057433" w:rsidRPr="00057433">
        <w:rPr>
          <w:b/>
          <w:lang w:val="uk-UA"/>
        </w:rPr>
        <w:tab/>
      </w:r>
      <w:r w:rsidR="00057433" w:rsidRPr="00057433">
        <w:rPr>
          <w:b/>
          <w:lang w:val="uk-UA"/>
        </w:rPr>
        <w:tab/>
      </w:r>
      <w:r w:rsidR="00057433" w:rsidRPr="00057433">
        <w:rPr>
          <w:b/>
          <w:lang w:val="uk-UA"/>
        </w:rPr>
        <w:tab/>
      </w:r>
      <w:r w:rsidR="00057433" w:rsidRPr="00057433">
        <w:rPr>
          <w:b/>
          <w:lang w:val="uk-UA"/>
        </w:rPr>
        <w:tab/>
      </w:r>
      <w:r w:rsidR="00057433" w:rsidRPr="00057433">
        <w:rPr>
          <w:b/>
          <w:lang w:val="uk-UA"/>
        </w:rPr>
        <w:tab/>
      </w:r>
      <w:r w:rsidR="00057433">
        <w:rPr>
          <w:b/>
          <w:lang w:val="uk-UA"/>
        </w:rPr>
        <w:t xml:space="preserve">                  </w:t>
      </w:r>
      <w:r w:rsidR="00057433" w:rsidRPr="00057433">
        <w:rPr>
          <w:b/>
          <w:lang w:val="uk-UA"/>
        </w:rPr>
        <w:tab/>
      </w:r>
      <w:r w:rsidR="00057433" w:rsidRPr="00057433">
        <w:rPr>
          <w:b/>
          <w:lang w:val="uk-UA"/>
        </w:rPr>
        <w:tab/>
      </w:r>
      <w:r w:rsidR="00057433" w:rsidRPr="00057433">
        <w:rPr>
          <w:b/>
          <w:lang w:val="uk-UA"/>
        </w:rPr>
        <w:tab/>
        <w:t xml:space="preserve">№ </w:t>
      </w:r>
      <w:r>
        <w:rPr>
          <w:b/>
          <w:lang w:val="uk-UA"/>
        </w:rPr>
        <w:t>104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057433" w:rsidRPr="00057433" w14:paraId="248F3EE7" w14:textId="77777777" w:rsidTr="00057433">
        <w:trPr>
          <w:trHeight w:val="63"/>
        </w:trPr>
        <w:tc>
          <w:tcPr>
            <w:tcW w:w="5353" w:type="dxa"/>
          </w:tcPr>
          <w:p w14:paraId="6AC1B6D0" w14:textId="557B4A06" w:rsidR="00057433" w:rsidRPr="00057433" w:rsidRDefault="00057433" w:rsidP="00057433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17107261" w14:textId="77777777" w:rsidR="00DA65FC" w:rsidRPr="0003545B" w:rsidRDefault="00DA65FC" w:rsidP="00DA65FC">
      <w:pPr>
        <w:jc w:val="both"/>
        <w:rPr>
          <w:b/>
          <w:lang w:val="uk-UA"/>
        </w:rPr>
      </w:pPr>
      <w:r w:rsidRPr="0003545B">
        <w:rPr>
          <w:b/>
          <w:lang w:val="uk-UA"/>
        </w:rPr>
        <w:t xml:space="preserve">Щодо підготовки та оприлюднення обґрунтування технічних та якісних </w:t>
      </w:r>
    </w:p>
    <w:p w14:paraId="6D00C116" w14:textId="77777777" w:rsidR="00DA65FC" w:rsidRPr="0003545B" w:rsidRDefault="00DA65FC" w:rsidP="00DA65FC">
      <w:pPr>
        <w:jc w:val="both"/>
        <w:rPr>
          <w:b/>
          <w:lang w:val="uk-UA"/>
        </w:rPr>
      </w:pPr>
      <w:r w:rsidRPr="0003545B">
        <w:rPr>
          <w:b/>
          <w:lang w:val="uk-UA"/>
        </w:rPr>
        <w:t xml:space="preserve">характеристик предмета закупівлі, розміру бюджетного призначення, </w:t>
      </w:r>
    </w:p>
    <w:p w14:paraId="50FC5EA1" w14:textId="77777777" w:rsidR="00DA65FC" w:rsidRPr="0003545B" w:rsidRDefault="00DA65FC" w:rsidP="00DA65FC">
      <w:pPr>
        <w:jc w:val="both"/>
        <w:rPr>
          <w:b/>
          <w:lang w:val="uk-UA"/>
        </w:rPr>
      </w:pPr>
      <w:r w:rsidRPr="0003545B">
        <w:rPr>
          <w:b/>
          <w:lang w:val="uk-UA"/>
        </w:rPr>
        <w:t>очікуваної вартості предмета закупівлі</w:t>
      </w:r>
    </w:p>
    <w:p w14:paraId="7CC72738" w14:textId="77777777" w:rsidR="00DA65FC" w:rsidRPr="00DA65FC" w:rsidRDefault="00DA65FC" w:rsidP="00DA65FC">
      <w:pPr>
        <w:jc w:val="both"/>
        <w:rPr>
          <w:lang w:val="uk-UA"/>
        </w:rPr>
      </w:pPr>
    </w:p>
    <w:p w14:paraId="7F387C49" w14:textId="77777777" w:rsidR="00DA65FC" w:rsidRPr="00DA65FC" w:rsidRDefault="00DA65FC" w:rsidP="00DA65FC">
      <w:pPr>
        <w:jc w:val="both"/>
        <w:rPr>
          <w:lang w:val="uk-UA"/>
        </w:rPr>
      </w:pPr>
      <w:r w:rsidRPr="00DA65FC">
        <w:rPr>
          <w:lang w:val="uk-UA"/>
        </w:rPr>
        <w:t xml:space="preserve">З метою прозорого, ефективного та раціонального використання коштів на виконання вимог постанови Кабінету Міністрів України  від 16.12.2020 № 1266 «Про внесення змін до постанов Кабінету Міністрів України від 1 серпня 2013 р. № 631 і від 11 жовтня 2016 р. № 710» </w:t>
      </w:r>
    </w:p>
    <w:p w14:paraId="350500EB" w14:textId="77777777" w:rsidR="00DA65FC" w:rsidRPr="00DA65FC" w:rsidRDefault="00DA65FC" w:rsidP="00DA65FC">
      <w:pPr>
        <w:jc w:val="both"/>
        <w:rPr>
          <w:lang w:val="uk-UA"/>
        </w:rPr>
      </w:pPr>
    </w:p>
    <w:p w14:paraId="1C010FB7" w14:textId="77777777" w:rsidR="00DA65FC" w:rsidRPr="0003545B" w:rsidRDefault="00DA65FC" w:rsidP="00DA65FC">
      <w:pPr>
        <w:jc w:val="both"/>
        <w:rPr>
          <w:lang w:val="uk-UA"/>
        </w:rPr>
      </w:pPr>
      <w:r w:rsidRPr="0003545B">
        <w:rPr>
          <w:lang w:val="uk-UA"/>
        </w:rPr>
        <w:t>НАКАЗУЮ:</w:t>
      </w:r>
    </w:p>
    <w:p w14:paraId="575EE37D" w14:textId="381C32D0" w:rsidR="00906BE7" w:rsidRPr="00906BE7" w:rsidRDefault="00DA65FC" w:rsidP="00DA65FC">
      <w:pPr>
        <w:numPr>
          <w:ilvl w:val="0"/>
          <w:numId w:val="1"/>
        </w:numPr>
        <w:jc w:val="both"/>
        <w:rPr>
          <w:lang w:val="uk-UA"/>
        </w:rPr>
      </w:pPr>
      <w:r w:rsidRPr="00DA65FC">
        <w:rPr>
          <w:lang w:val="uk-UA"/>
        </w:rPr>
        <w:t xml:space="preserve">Призначити відповідальною особою за підготовку </w:t>
      </w:r>
      <w:r w:rsidRPr="00DA65FC">
        <w:rPr>
          <w:rFonts w:eastAsiaTheme="majorEastAsia"/>
          <w:bCs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</w:t>
      </w:r>
      <w:r w:rsidR="00906BE7">
        <w:rPr>
          <w:rFonts w:eastAsiaTheme="majorEastAsia"/>
          <w:bCs/>
          <w:lang w:val="uk-UA"/>
        </w:rPr>
        <w:t>по закупівлям:</w:t>
      </w:r>
    </w:p>
    <w:p w14:paraId="6FC498DF" w14:textId="42B283DA" w:rsidR="00DA65FC" w:rsidRPr="006C02BC" w:rsidRDefault="006C02BC" w:rsidP="006C02BC">
      <w:pPr>
        <w:pStyle w:val="a4"/>
        <w:numPr>
          <w:ilvl w:val="1"/>
          <w:numId w:val="1"/>
        </w:numPr>
        <w:jc w:val="both"/>
        <w:rPr>
          <w:lang w:val="uk-UA"/>
        </w:rPr>
      </w:pPr>
      <w:r>
        <w:rPr>
          <w:spacing w:val="-3"/>
          <w:lang w:val="uk-UA"/>
        </w:rPr>
        <w:t xml:space="preserve">продуктів харчування - </w:t>
      </w:r>
      <w:r w:rsidR="00906BE7" w:rsidRPr="006C02BC">
        <w:rPr>
          <w:spacing w:val="-3"/>
          <w:lang w:val="uk-UA"/>
        </w:rPr>
        <w:t xml:space="preserve">фахівця з питань організації харчування </w:t>
      </w:r>
      <w:proofErr w:type="spellStart"/>
      <w:r w:rsidR="00906BE7" w:rsidRPr="006C02BC">
        <w:rPr>
          <w:spacing w:val="-3"/>
          <w:lang w:val="uk-UA"/>
        </w:rPr>
        <w:t>Гуцаленко</w:t>
      </w:r>
      <w:proofErr w:type="spellEnd"/>
      <w:r w:rsidR="00906BE7" w:rsidRPr="006C02BC">
        <w:rPr>
          <w:spacing w:val="-3"/>
          <w:lang w:val="uk-UA"/>
        </w:rPr>
        <w:t xml:space="preserve"> Тетяну Олександрівну</w:t>
      </w:r>
      <w:r>
        <w:rPr>
          <w:spacing w:val="-3"/>
          <w:sz w:val="28"/>
          <w:szCs w:val="28"/>
          <w:lang w:val="uk-UA"/>
        </w:rPr>
        <w:t>;</w:t>
      </w:r>
    </w:p>
    <w:p w14:paraId="4B66D2D1" w14:textId="0B1BDADD" w:rsidR="006C02BC" w:rsidRPr="006C02BC" w:rsidRDefault="006C02BC" w:rsidP="006C02BC">
      <w:pPr>
        <w:pStyle w:val="a4"/>
        <w:numPr>
          <w:ilvl w:val="1"/>
          <w:numId w:val="1"/>
        </w:numPr>
        <w:jc w:val="both"/>
        <w:rPr>
          <w:lang w:val="uk-UA"/>
        </w:rPr>
      </w:pPr>
      <w:r w:rsidRPr="006C02BC">
        <w:rPr>
          <w:spacing w:val="-3"/>
          <w:lang w:val="uk-UA"/>
        </w:rPr>
        <w:t>комунальних послуг</w:t>
      </w:r>
      <w:r>
        <w:rPr>
          <w:spacing w:val="-3"/>
          <w:lang w:val="uk-UA"/>
        </w:rPr>
        <w:t xml:space="preserve"> –</w:t>
      </w:r>
      <w:r w:rsidRPr="006C02BC">
        <w:rPr>
          <w:spacing w:val="-3"/>
          <w:lang w:val="uk-UA"/>
        </w:rPr>
        <w:t xml:space="preserve"> </w:t>
      </w:r>
      <w:r>
        <w:rPr>
          <w:spacing w:val="-3"/>
          <w:lang w:val="uk-UA"/>
        </w:rPr>
        <w:t>економіста Морозову Людмилу Олексіївну;</w:t>
      </w:r>
    </w:p>
    <w:p w14:paraId="48E4C30E" w14:textId="70B89AD4" w:rsidR="006C02BC" w:rsidRDefault="006C02BC" w:rsidP="006C02BC">
      <w:pPr>
        <w:pStyle w:val="a4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 xml:space="preserve">інформаційних і телекомунікаційних систем </w:t>
      </w:r>
      <w:r w:rsidRPr="006C02BC">
        <w:rPr>
          <w:lang w:val="uk-UA"/>
        </w:rPr>
        <w:t>– інженер</w:t>
      </w:r>
      <w:r>
        <w:rPr>
          <w:lang w:val="uk-UA"/>
        </w:rPr>
        <w:t>а</w:t>
      </w:r>
      <w:r w:rsidRPr="006C02BC">
        <w:rPr>
          <w:lang w:val="uk-UA"/>
        </w:rPr>
        <w:t xml:space="preserve"> електронік</w:t>
      </w:r>
      <w:r>
        <w:rPr>
          <w:lang w:val="uk-UA"/>
        </w:rPr>
        <w:t>а</w:t>
      </w:r>
      <w:r w:rsidRPr="006C02BC">
        <w:t xml:space="preserve"> </w:t>
      </w:r>
      <w:proofErr w:type="spellStart"/>
      <w:r w:rsidRPr="006C02BC">
        <w:rPr>
          <w:lang w:val="uk-UA"/>
        </w:rPr>
        <w:t>Еесалу</w:t>
      </w:r>
      <w:proofErr w:type="spellEnd"/>
      <w:r w:rsidRPr="006C02BC">
        <w:rPr>
          <w:lang w:val="uk-UA"/>
        </w:rPr>
        <w:t xml:space="preserve"> </w:t>
      </w:r>
      <w:proofErr w:type="spellStart"/>
      <w:r w:rsidRPr="006C02BC">
        <w:rPr>
          <w:lang w:val="uk-UA"/>
        </w:rPr>
        <w:t>Ромас</w:t>
      </w:r>
      <w:r>
        <w:rPr>
          <w:lang w:val="uk-UA"/>
        </w:rPr>
        <w:t>а</w:t>
      </w:r>
      <w:proofErr w:type="spellEnd"/>
      <w:r w:rsidRPr="006C02BC">
        <w:rPr>
          <w:lang w:val="uk-UA"/>
        </w:rPr>
        <w:t xml:space="preserve"> </w:t>
      </w:r>
      <w:proofErr w:type="spellStart"/>
      <w:r w:rsidRPr="006C02BC">
        <w:rPr>
          <w:lang w:val="uk-UA"/>
        </w:rPr>
        <w:t>Калевович</w:t>
      </w:r>
      <w:r>
        <w:rPr>
          <w:lang w:val="uk-UA"/>
        </w:rPr>
        <w:t>а</w:t>
      </w:r>
      <w:proofErr w:type="spellEnd"/>
      <w:r>
        <w:rPr>
          <w:lang w:val="uk-UA"/>
        </w:rPr>
        <w:t>;</w:t>
      </w:r>
    </w:p>
    <w:p w14:paraId="36B73D99" w14:textId="5AF36353" w:rsidR="006C02BC" w:rsidRPr="006C02BC" w:rsidRDefault="006C02BC" w:rsidP="006C02BC">
      <w:pPr>
        <w:pStyle w:val="a4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 xml:space="preserve">методичного та інформаційного забезпечення - </w:t>
      </w:r>
      <w:r w:rsidRPr="006C02BC">
        <w:rPr>
          <w:lang w:val="uk-UA"/>
        </w:rPr>
        <w:t>начальник</w:t>
      </w:r>
      <w:r>
        <w:rPr>
          <w:lang w:val="uk-UA"/>
        </w:rPr>
        <w:t>а</w:t>
      </w:r>
      <w:r w:rsidRPr="006C02BC">
        <w:rPr>
          <w:lang w:val="uk-UA"/>
        </w:rPr>
        <w:t xml:space="preserve"> відділу науково-методичного та інформаційного забезпечення управління освіти</w:t>
      </w:r>
      <w:r w:rsidRPr="006C02BC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lang w:val="uk-UA"/>
        </w:rPr>
        <w:t>Золотарьов</w:t>
      </w:r>
      <w:r w:rsidR="006116AB">
        <w:rPr>
          <w:spacing w:val="-3"/>
          <w:lang w:val="uk-UA"/>
        </w:rPr>
        <w:t xml:space="preserve">у </w:t>
      </w:r>
      <w:r>
        <w:rPr>
          <w:spacing w:val="-3"/>
          <w:lang w:val="uk-UA"/>
        </w:rPr>
        <w:t>Наталію Миколаївну;</w:t>
      </w:r>
    </w:p>
    <w:p w14:paraId="1955194F" w14:textId="63CC7BD3" w:rsidR="006C02BC" w:rsidRPr="006C02BC" w:rsidRDefault="006C02BC" w:rsidP="006C02BC">
      <w:pPr>
        <w:pStyle w:val="a4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 xml:space="preserve">робіт та послуг, господарського забезпечення, транспортного забезпечення - </w:t>
      </w:r>
      <w:r w:rsidRPr="006C02BC">
        <w:rPr>
          <w:spacing w:val="-3"/>
          <w:lang w:val="uk-UA"/>
        </w:rPr>
        <w:t>начальник</w:t>
      </w:r>
      <w:r>
        <w:rPr>
          <w:spacing w:val="-3"/>
          <w:lang w:val="uk-UA"/>
        </w:rPr>
        <w:t>а</w:t>
      </w:r>
      <w:r w:rsidRPr="006C02BC">
        <w:rPr>
          <w:spacing w:val="-3"/>
          <w:lang w:val="uk-UA"/>
        </w:rPr>
        <w:t xml:space="preserve"> господарського відділу Нестерова Вікто</w:t>
      </w:r>
      <w:r>
        <w:rPr>
          <w:spacing w:val="-3"/>
          <w:lang w:val="uk-UA"/>
        </w:rPr>
        <w:t>р</w:t>
      </w:r>
      <w:r w:rsidRPr="006C02BC">
        <w:rPr>
          <w:spacing w:val="-3"/>
          <w:lang w:val="uk-UA"/>
        </w:rPr>
        <w:t xml:space="preserve">а Васильовича, інженера – будівельника </w:t>
      </w:r>
      <w:proofErr w:type="spellStart"/>
      <w:r w:rsidRPr="006C02BC">
        <w:rPr>
          <w:spacing w:val="-3"/>
          <w:lang w:val="uk-UA"/>
        </w:rPr>
        <w:t>Шаповалову</w:t>
      </w:r>
      <w:proofErr w:type="spellEnd"/>
      <w:r w:rsidRPr="006C02BC">
        <w:rPr>
          <w:spacing w:val="-3"/>
          <w:lang w:val="uk-UA"/>
        </w:rPr>
        <w:t xml:space="preserve"> Олену Володимирівну</w:t>
      </w:r>
      <w:r>
        <w:rPr>
          <w:spacing w:val="-3"/>
          <w:lang w:val="uk-UA"/>
        </w:rPr>
        <w:t>.</w:t>
      </w:r>
    </w:p>
    <w:p w14:paraId="6429A875" w14:textId="77777777" w:rsidR="00DA65FC" w:rsidRPr="00DA65FC" w:rsidRDefault="00DA65FC" w:rsidP="00DA65FC">
      <w:pPr>
        <w:numPr>
          <w:ilvl w:val="0"/>
          <w:numId w:val="1"/>
        </w:numPr>
        <w:jc w:val="both"/>
        <w:rPr>
          <w:lang w:val="uk-UA"/>
        </w:rPr>
      </w:pPr>
      <w:r w:rsidRPr="00DA65FC">
        <w:rPr>
          <w:lang w:val="uk-UA"/>
        </w:rPr>
        <w:t>Підготовка обґрунтування технічних та якісних характеристик предмета закупівлі, розміру бюджетного призначення, очікуваної вартості предмета закупівлі здійснюється протягом бюджетного року відповідно до річного плану закупівель.</w:t>
      </w:r>
    </w:p>
    <w:p w14:paraId="2D307DAD" w14:textId="55F586BA" w:rsidR="00DA65FC" w:rsidRPr="00DA65FC" w:rsidRDefault="00DA65FC" w:rsidP="00DA65FC">
      <w:pPr>
        <w:numPr>
          <w:ilvl w:val="0"/>
          <w:numId w:val="1"/>
        </w:numPr>
        <w:jc w:val="both"/>
        <w:rPr>
          <w:lang w:val="uk-UA"/>
        </w:rPr>
      </w:pPr>
      <w:r w:rsidRPr="00DA65FC">
        <w:rPr>
          <w:lang w:val="uk-UA"/>
        </w:rPr>
        <w:t>Підготовлене (та в разі необхідності погоджене) обґрунтування технічних та якісних характеристик певного предмета закупівлі, розмір його бюджетного призначення та очікувана вартість предмета закупівлі передається уповноваженій особі за належністю для вжиття подальших дій згідно з Законом України «Про публічні закупівлі».</w:t>
      </w:r>
    </w:p>
    <w:p w14:paraId="38522246" w14:textId="7E498BC7" w:rsidR="00DA65FC" w:rsidRPr="00DA65FC" w:rsidRDefault="00DA65FC" w:rsidP="00DA65FC">
      <w:pPr>
        <w:numPr>
          <w:ilvl w:val="0"/>
          <w:numId w:val="1"/>
        </w:numPr>
        <w:jc w:val="both"/>
        <w:rPr>
          <w:lang w:val="uk-UA"/>
        </w:rPr>
      </w:pPr>
      <w:r w:rsidRPr="00DA65FC">
        <w:rPr>
          <w:lang w:val="uk-UA"/>
        </w:rPr>
        <w:t xml:space="preserve">Протягом </w:t>
      </w:r>
      <w:r w:rsidR="00556D99">
        <w:rPr>
          <w:lang w:val="uk-UA"/>
        </w:rPr>
        <w:t>одного</w:t>
      </w:r>
      <w:r w:rsidRPr="00DA65FC">
        <w:rPr>
          <w:lang w:val="uk-UA"/>
        </w:rPr>
        <w:t xml:space="preserve"> робоч</w:t>
      </w:r>
      <w:r w:rsidR="00556D99">
        <w:rPr>
          <w:lang w:val="uk-UA"/>
        </w:rPr>
        <w:t>ого дня</w:t>
      </w:r>
      <w:r w:rsidRPr="00DA65FC">
        <w:rPr>
          <w:lang w:val="uk-UA"/>
        </w:rPr>
        <w:t xml:space="preserve">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 уповноважена особа нада</w:t>
      </w:r>
      <w:r w:rsidR="00556D99">
        <w:rPr>
          <w:lang w:val="uk-UA"/>
        </w:rPr>
        <w:t>є</w:t>
      </w:r>
      <w:r w:rsidRPr="00DA65FC">
        <w:rPr>
          <w:lang w:val="uk-UA"/>
        </w:rPr>
        <w:t xml:space="preserve"> відповідне обґрунтування із зазначенням дати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 для оприлюднення його на </w:t>
      </w:r>
      <w:proofErr w:type="spellStart"/>
      <w:r w:rsidRPr="00DA65FC">
        <w:rPr>
          <w:lang w:val="uk-UA"/>
        </w:rPr>
        <w:t>вебсайті</w:t>
      </w:r>
      <w:proofErr w:type="spellEnd"/>
      <w:r w:rsidRPr="00DA65FC">
        <w:rPr>
          <w:lang w:val="uk-UA"/>
        </w:rPr>
        <w:t xml:space="preserve"> особі, яка відповідальна за 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на </w:t>
      </w:r>
      <w:proofErr w:type="spellStart"/>
      <w:r w:rsidRPr="00DA65FC">
        <w:rPr>
          <w:lang w:val="uk-UA"/>
        </w:rPr>
        <w:t>вебсайті</w:t>
      </w:r>
      <w:proofErr w:type="spellEnd"/>
      <w:r w:rsidRPr="00DA65FC">
        <w:rPr>
          <w:lang w:val="uk-UA"/>
        </w:rPr>
        <w:t>.</w:t>
      </w:r>
    </w:p>
    <w:p w14:paraId="41F9BBC2" w14:textId="079657F8" w:rsidR="00DA65FC" w:rsidRPr="00DA65FC" w:rsidRDefault="00DA65FC" w:rsidP="00DA65FC">
      <w:pPr>
        <w:numPr>
          <w:ilvl w:val="0"/>
          <w:numId w:val="1"/>
        </w:numPr>
        <w:jc w:val="both"/>
        <w:rPr>
          <w:i/>
          <w:iCs/>
          <w:lang w:val="uk-UA"/>
        </w:rPr>
      </w:pPr>
      <w:r w:rsidRPr="00DA65FC">
        <w:rPr>
          <w:lang w:val="uk-UA"/>
        </w:rPr>
        <w:lastRenderedPageBreak/>
        <w:t xml:space="preserve">Призначити відповідальною особою за 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на </w:t>
      </w:r>
      <w:proofErr w:type="spellStart"/>
      <w:r w:rsidRPr="00DA65FC">
        <w:rPr>
          <w:lang w:val="uk-UA"/>
        </w:rPr>
        <w:t>вебсайті</w:t>
      </w:r>
      <w:proofErr w:type="spellEnd"/>
      <w:r w:rsidRPr="00DA65FC">
        <w:rPr>
          <w:lang w:val="uk-UA"/>
        </w:rPr>
        <w:t xml:space="preserve"> </w:t>
      </w:r>
      <w:hyperlink r:id="rId7" w:tgtFrame="_blank" w:history="1">
        <w:r w:rsidR="006116AB">
          <w:rPr>
            <w:rStyle w:val="a5"/>
          </w:rPr>
          <w:t>https</w:t>
        </w:r>
        <w:r w:rsidR="006116AB" w:rsidRPr="006116AB">
          <w:rPr>
            <w:rStyle w:val="a5"/>
            <w:lang w:val="uk-UA"/>
          </w:rPr>
          <w:t>://</w:t>
        </w:r>
        <w:r w:rsidR="006116AB">
          <w:rPr>
            <w:rStyle w:val="a5"/>
          </w:rPr>
          <w:t>osvitaizuma</w:t>
        </w:r>
        <w:r w:rsidR="006116AB" w:rsidRPr="006116AB">
          <w:rPr>
            <w:rStyle w:val="a5"/>
            <w:lang w:val="uk-UA"/>
          </w:rPr>
          <w:t>.</w:t>
        </w:r>
        <w:r w:rsidR="006116AB">
          <w:rPr>
            <w:rStyle w:val="a5"/>
          </w:rPr>
          <w:t>klasna</w:t>
        </w:r>
        <w:r w:rsidR="006116AB" w:rsidRPr="006116AB">
          <w:rPr>
            <w:rStyle w:val="a5"/>
            <w:lang w:val="uk-UA"/>
          </w:rPr>
          <w:t>.</w:t>
        </w:r>
        <w:r w:rsidR="006116AB">
          <w:rPr>
            <w:rStyle w:val="a5"/>
          </w:rPr>
          <w:t>com</w:t>
        </w:r>
        <w:r w:rsidR="006116AB" w:rsidRPr="006116AB">
          <w:rPr>
            <w:rStyle w:val="a5"/>
            <w:lang w:val="uk-UA"/>
          </w:rPr>
          <w:t>/</w:t>
        </w:r>
      </w:hyperlink>
      <w:r w:rsidR="006116AB" w:rsidRPr="00DA65FC">
        <w:rPr>
          <w:i/>
          <w:lang w:val="uk-UA"/>
        </w:rPr>
        <w:t xml:space="preserve"> </w:t>
      </w:r>
      <w:r w:rsidR="0003545B">
        <w:rPr>
          <w:lang w:val="uk-UA"/>
        </w:rPr>
        <w:t>інженера-електроніка</w:t>
      </w:r>
      <w:r w:rsidR="009E0706" w:rsidRPr="006116AB">
        <w:rPr>
          <w:lang w:val="uk-UA"/>
        </w:rPr>
        <w:t xml:space="preserve"> </w:t>
      </w:r>
      <w:proofErr w:type="spellStart"/>
      <w:r w:rsidR="0003545B">
        <w:rPr>
          <w:lang w:val="uk-UA"/>
        </w:rPr>
        <w:t>Рой</w:t>
      </w:r>
      <w:proofErr w:type="spellEnd"/>
      <w:r w:rsidR="0003545B">
        <w:rPr>
          <w:lang w:val="uk-UA"/>
        </w:rPr>
        <w:t xml:space="preserve"> Анну Володимирівну</w:t>
      </w:r>
      <w:r w:rsidRPr="00DA65FC">
        <w:rPr>
          <w:i/>
          <w:lang w:val="uk-UA"/>
        </w:rPr>
        <w:t>.</w:t>
      </w:r>
      <w:r w:rsidRPr="00DA65FC">
        <w:rPr>
          <w:lang w:val="uk-UA"/>
        </w:rPr>
        <w:t xml:space="preserve"> 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на </w:t>
      </w:r>
      <w:proofErr w:type="spellStart"/>
      <w:r w:rsidRPr="00DA65FC">
        <w:rPr>
          <w:lang w:val="uk-UA"/>
        </w:rPr>
        <w:t>вебсайті</w:t>
      </w:r>
      <w:proofErr w:type="spellEnd"/>
      <w:r w:rsidRPr="00DA65FC">
        <w:rPr>
          <w:lang w:val="uk-UA"/>
        </w:rPr>
        <w:t xml:space="preserve"> здійснюється відповідальною особою не пізніше 5 (</w:t>
      </w:r>
      <w:r w:rsidRPr="00DA65FC">
        <w:rPr>
          <w:b/>
          <w:lang w:val="uk-UA"/>
        </w:rPr>
        <w:t>п’ятого) робочого дня</w:t>
      </w:r>
      <w:r w:rsidRPr="00DA65FC">
        <w:rPr>
          <w:lang w:val="uk-UA"/>
        </w:rPr>
        <w:t xml:space="preserve">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закупівель.  </w:t>
      </w:r>
    </w:p>
    <w:p w14:paraId="58267655" w14:textId="2244EA90" w:rsidR="00DA65FC" w:rsidRDefault="00DA65FC" w:rsidP="00DA65FC">
      <w:pPr>
        <w:numPr>
          <w:ilvl w:val="0"/>
          <w:numId w:val="1"/>
        </w:numPr>
        <w:jc w:val="both"/>
        <w:rPr>
          <w:lang w:val="uk-UA"/>
        </w:rPr>
      </w:pPr>
      <w:r w:rsidRPr="00DA65FC">
        <w:rPr>
          <w:lang w:val="uk-UA"/>
        </w:rPr>
        <w:t xml:space="preserve">Контроль за виконанням наказу </w:t>
      </w:r>
      <w:r w:rsidR="006116AB">
        <w:rPr>
          <w:lang w:val="uk-UA"/>
        </w:rPr>
        <w:t>залишаю за собою.</w:t>
      </w:r>
    </w:p>
    <w:p w14:paraId="588764CD" w14:textId="77777777" w:rsidR="00AC4E8C" w:rsidRPr="00DA65FC" w:rsidRDefault="00AC4E8C" w:rsidP="00AC4E8C">
      <w:pPr>
        <w:ind w:left="720"/>
        <w:jc w:val="both"/>
        <w:rPr>
          <w:lang w:val="uk-UA"/>
        </w:rPr>
      </w:pPr>
    </w:p>
    <w:p w14:paraId="569692B0" w14:textId="77777777" w:rsidR="00DA65FC" w:rsidRPr="00DA65FC" w:rsidRDefault="00DA65FC" w:rsidP="00DA65FC">
      <w:pPr>
        <w:jc w:val="both"/>
        <w:rPr>
          <w:lang w:val="uk-UA"/>
        </w:rPr>
      </w:pPr>
    </w:p>
    <w:p w14:paraId="69FA1A10" w14:textId="1ECE4424" w:rsidR="006116AB" w:rsidRDefault="006116AB" w:rsidP="006116AB">
      <w:pPr>
        <w:spacing w:line="276" w:lineRule="auto"/>
        <w:jc w:val="both"/>
        <w:rPr>
          <w:sz w:val="28"/>
          <w:szCs w:val="28"/>
          <w:lang w:val="uk-UA"/>
        </w:rPr>
      </w:pPr>
      <w:r w:rsidRPr="00AC4E8C">
        <w:rPr>
          <w:sz w:val="28"/>
          <w:szCs w:val="28"/>
          <w:lang w:val="uk-UA"/>
        </w:rPr>
        <w:t>Начальник управління освіти</w:t>
      </w:r>
      <w:r w:rsidRPr="00AC4E8C">
        <w:rPr>
          <w:sz w:val="28"/>
          <w:szCs w:val="28"/>
          <w:lang w:val="uk-UA"/>
        </w:rPr>
        <w:tab/>
      </w:r>
      <w:r w:rsidRPr="00AC4E8C">
        <w:rPr>
          <w:sz w:val="28"/>
          <w:szCs w:val="28"/>
          <w:lang w:val="uk-UA"/>
        </w:rPr>
        <w:tab/>
      </w:r>
      <w:r w:rsidRPr="00AC4E8C">
        <w:rPr>
          <w:sz w:val="28"/>
          <w:szCs w:val="28"/>
          <w:lang w:val="uk-UA"/>
        </w:rPr>
        <w:tab/>
      </w:r>
      <w:r w:rsidRPr="00AC4E8C">
        <w:rPr>
          <w:sz w:val="28"/>
          <w:szCs w:val="28"/>
          <w:lang w:val="uk-UA"/>
        </w:rPr>
        <w:tab/>
      </w:r>
      <w:r w:rsidR="00AC4E8C">
        <w:rPr>
          <w:sz w:val="28"/>
          <w:szCs w:val="28"/>
          <w:lang w:val="uk-UA"/>
        </w:rPr>
        <w:tab/>
      </w:r>
      <w:r w:rsidRPr="00AC4E8C">
        <w:rPr>
          <w:sz w:val="28"/>
          <w:szCs w:val="28"/>
          <w:lang w:val="uk-UA"/>
        </w:rPr>
        <w:t>О. БЕЗКОРОВАЙНИЙ</w:t>
      </w:r>
    </w:p>
    <w:p w14:paraId="16586780" w14:textId="77777777" w:rsidR="00AC4E8C" w:rsidRPr="00AC4E8C" w:rsidRDefault="00AC4E8C" w:rsidP="006116AB">
      <w:pPr>
        <w:spacing w:line="276" w:lineRule="auto"/>
        <w:jc w:val="both"/>
        <w:rPr>
          <w:lang w:val="uk-UA"/>
        </w:rPr>
      </w:pPr>
    </w:p>
    <w:p w14:paraId="3AC6BD1E" w14:textId="77777777" w:rsidR="006116AB" w:rsidRPr="006116AB" w:rsidRDefault="006116AB" w:rsidP="006116AB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116AB">
        <w:rPr>
          <w:rFonts w:eastAsia="Calibri"/>
          <w:sz w:val="26"/>
          <w:szCs w:val="26"/>
          <w:lang w:eastAsia="en-US"/>
        </w:rPr>
        <w:t>Візи</w:t>
      </w:r>
      <w:proofErr w:type="spellEnd"/>
      <w:r w:rsidRPr="006116AB">
        <w:rPr>
          <w:rFonts w:eastAsia="Calibri"/>
          <w:sz w:val="26"/>
          <w:szCs w:val="26"/>
          <w:lang w:eastAsia="en-US"/>
        </w:rPr>
        <w:t>:</w:t>
      </w:r>
    </w:p>
    <w:p w14:paraId="7551F18D" w14:textId="77777777" w:rsidR="006116AB" w:rsidRPr="006116AB" w:rsidRDefault="006116AB" w:rsidP="006116AB">
      <w:pPr>
        <w:jc w:val="both"/>
        <w:rPr>
          <w:rFonts w:eastAsia="Calibri"/>
          <w:sz w:val="26"/>
          <w:szCs w:val="26"/>
          <w:lang w:val="uk-UA" w:eastAsia="en-US"/>
        </w:rPr>
      </w:pPr>
      <w:r w:rsidRPr="006116AB">
        <w:rPr>
          <w:rFonts w:eastAsia="Calibri"/>
          <w:sz w:val="26"/>
          <w:szCs w:val="26"/>
          <w:lang w:val="uk-UA" w:eastAsia="en-US"/>
        </w:rPr>
        <w:t>Юрист групи з централізованого</w:t>
      </w:r>
    </w:p>
    <w:p w14:paraId="63AC9D44" w14:textId="77777777" w:rsidR="006116AB" w:rsidRPr="006116AB" w:rsidRDefault="006116AB" w:rsidP="006116AB">
      <w:pPr>
        <w:jc w:val="both"/>
        <w:rPr>
          <w:rFonts w:eastAsia="Calibri"/>
          <w:sz w:val="26"/>
          <w:szCs w:val="26"/>
          <w:lang w:val="uk-UA" w:eastAsia="en-US"/>
        </w:rPr>
      </w:pPr>
      <w:r w:rsidRPr="006116AB">
        <w:rPr>
          <w:rFonts w:eastAsia="Calibri"/>
          <w:sz w:val="26"/>
          <w:szCs w:val="26"/>
          <w:lang w:val="uk-UA" w:eastAsia="en-US"/>
        </w:rPr>
        <w:t>господарського обслуговування закладів</w:t>
      </w:r>
    </w:p>
    <w:p w14:paraId="701A1B08" w14:textId="593D5DC7" w:rsidR="006116AB" w:rsidRPr="006116AB" w:rsidRDefault="006116AB" w:rsidP="006116AB">
      <w:pPr>
        <w:jc w:val="both"/>
        <w:rPr>
          <w:rFonts w:eastAsia="Calibri"/>
          <w:sz w:val="26"/>
          <w:szCs w:val="26"/>
          <w:lang w:val="uk-UA" w:eastAsia="en-US"/>
        </w:rPr>
      </w:pPr>
      <w:r w:rsidRPr="006116AB">
        <w:rPr>
          <w:rFonts w:eastAsia="Calibri"/>
          <w:sz w:val="26"/>
          <w:szCs w:val="26"/>
          <w:lang w:val="uk-UA" w:eastAsia="en-US"/>
        </w:rPr>
        <w:t>та устано</w:t>
      </w:r>
      <w:r w:rsidR="00AC4E8C">
        <w:rPr>
          <w:rFonts w:eastAsia="Calibri"/>
          <w:sz w:val="26"/>
          <w:szCs w:val="26"/>
          <w:lang w:val="uk-UA" w:eastAsia="en-US"/>
        </w:rPr>
        <w:t xml:space="preserve">в освіти управління освіти </w:t>
      </w:r>
      <w:r w:rsidR="00AC4E8C">
        <w:rPr>
          <w:rFonts w:eastAsia="Calibri"/>
          <w:sz w:val="26"/>
          <w:szCs w:val="26"/>
          <w:lang w:val="uk-UA" w:eastAsia="en-US"/>
        </w:rPr>
        <w:tab/>
      </w:r>
      <w:r w:rsidR="00AC4E8C">
        <w:rPr>
          <w:rFonts w:eastAsia="Calibri"/>
          <w:sz w:val="26"/>
          <w:szCs w:val="26"/>
          <w:lang w:val="uk-UA" w:eastAsia="en-US"/>
        </w:rPr>
        <w:tab/>
      </w:r>
      <w:r w:rsidR="00AC4E8C">
        <w:rPr>
          <w:rFonts w:eastAsia="Calibri"/>
          <w:sz w:val="26"/>
          <w:szCs w:val="26"/>
          <w:lang w:val="uk-UA" w:eastAsia="en-US"/>
        </w:rPr>
        <w:tab/>
      </w:r>
      <w:r w:rsidR="00AC4E8C">
        <w:rPr>
          <w:rFonts w:eastAsia="Calibri"/>
          <w:sz w:val="26"/>
          <w:szCs w:val="26"/>
          <w:lang w:val="uk-UA" w:eastAsia="en-US"/>
        </w:rPr>
        <w:tab/>
      </w:r>
      <w:bookmarkStart w:id="0" w:name="_GoBack"/>
      <w:bookmarkEnd w:id="0"/>
      <w:r w:rsidRPr="006116AB">
        <w:rPr>
          <w:rFonts w:eastAsia="Calibri"/>
          <w:sz w:val="26"/>
          <w:szCs w:val="26"/>
          <w:lang w:val="uk-UA" w:eastAsia="en-US"/>
        </w:rPr>
        <w:t>Леонід Науменко</w:t>
      </w:r>
    </w:p>
    <w:p w14:paraId="348C003D" w14:textId="77777777" w:rsidR="006116AB" w:rsidRPr="006116AB" w:rsidRDefault="006116AB" w:rsidP="006116AB">
      <w:pPr>
        <w:spacing w:line="276" w:lineRule="auto"/>
        <w:jc w:val="both"/>
        <w:rPr>
          <w:lang w:val="uk-UA"/>
        </w:rPr>
      </w:pPr>
    </w:p>
    <w:p w14:paraId="79F1E139" w14:textId="77777777" w:rsidR="006116AB" w:rsidRPr="006116AB" w:rsidRDefault="006116AB" w:rsidP="006116AB">
      <w:pPr>
        <w:spacing w:line="276" w:lineRule="auto"/>
        <w:jc w:val="both"/>
        <w:rPr>
          <w:lang w:val="uk-UA"/>
        </w:rPr>
      </w:pPr>
      <w:r w:rsidRPr="006116AB">
        <w:rPr>
          <w:lang w:val="uk-UA"/>
        </w:rPr>
        <w:t>З наказом ознайомлені: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3938"/>
      </w:tblGrid>
      <w:tr w:rsidR="006116AB" w:rsidRPr="006116AB" w14:paraId="16F649AD" w14:textId="77777777" w:rsidTr="006116AB">
        <w:tc>
          <w:tcPr>
            <w:tcW w:w="2407" w:type="dxa"/>
          </w:tcPr>
          <w:p w14:paraId="376072C9" w14:textId="77777777" w:rsidR="006116AB" w:rsidRPr="006116AB" w:rsidRDefault="006116AB" w:rsidP="006116AB">
            <w:pPr>
              <w:jc w:val="both"/>
              <w:rPr>
                <w:color w:val="292B2C"/>
                <w:sz w:val="28"/>
                <w:szCs w:val="28"/>
                <w:lang w:val="uk-UA"/>
              </w:rPr>
            </w:pPr>
          </w:p>
        </w:tc>
        <w:tc>
          <w:tcPr>
            <w:tcW w:w="3938" w:type="dxa"/>
          </w:tcPr>
          <w:p w14:paraId="0A205F57" w14:textId="3FEE275F" w:rsidR="006116AB" w:rsidRPr="006116AB" w:rsidRDefault="006116AB" w:rsidP="006116AB">
            <w:pPr>
              <w:jc w:val="both"/>
              <w:rPr>
                <w:color w:val="292B2C"/>
                <w:sz w:val="20"/>
                <w:szCs w:val="20"/>
                <w:lang w:val="uk-UA"/>
              </w:rPr>
            </w:pPr>
          </w:p>
        </w:tc>
      </w:tr>
      <w:tr w:rsidR="006116AB" w:rsidRPr="006116AB" w14:paraId="1E83FDF8" w14:textId="77777777" w:rsidTr="006116AB">
        <w:tc>
          <w:tcPr>
            <w:tcW w:w="2407" w:type="dxa"/>
            <w:tcBorders>
              <w:bottom w:val="single" w:sz="4" w:space="0" w:color="auto"/>
            </w:tcBorders>
          </w:tcPr>
          <w:p w14:paraId="017526C0" w14:textId="77777777" w:rsidR="006116AB" w:rsidRPr="006116AB" w:rsidRDefault="006116AB" w:rsidP="006116AB">
            <w:pPr>
              <w:jc w:val="both"/>
              <w:rPr>
                <w:color w:val="292B2C"/>
                <w:sz w:val="28"/>
                <w:szCs w:val="28"/>
                <w:lang w:val="uk-UA"/>
              </w:rPr>
            </w:pPr>
          </w:p>
        </w:tc>
        <w:tc>
          <w:tcPr>
            <w:tcW w:w="3938" w:type="dxa"/>
          </w:tcPr>
          <w:p w14:paraId="065C505F" w14:textId="77777777" w:rsidR="006116AB" w:rsidRPr="006116AB" w:rsidRDefault="006116AB" w:rsidP="006116AB">
            <w:pPr>
              <w:jc w:val="both"/>
              <w:rPr>
                <w:color w:val="292B2C"/>
                <w:sz w:val="20"/>
                <w:szCs w:val="20"/>
                <w:lang w:val="uk-UA"/>
              </w:rPr>
            </w:pPr>
            <w:r w:rsidRPr="006116AB">
              <w:rPr>
                <w:color w:val="292B2C"/>
                <w:sz w:val="20"/>
                <w:szCs w:val="20"/>
                <w:lang w:val="uk-UA"/>
              </w:rPr>
              <w:t>Нестеров В.В.</w:t>
            </w:r>
          </w:p>
        </w:tc>
      </w:tr>
      <w:tr w:rsidR="006116AB" w:rsidRPr="006116AB" w14:paraId="278CFBA7" w14:textId="77777777" w:rsidTr="00A27FA7"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48B2CD92" w14:textId="77777777" w:rsidR="006116AB" w:rsidRPr="006116AB" w:rsidRDefault="006116AB" w:rsidP="006116AB">
            <w:pPr>
              <w:jc w:val="both"/>
              <w:rPr>
                <w:color w:val="292B2C"/>
                <w:sz w:val="28"/>
                <w:szCs w:val="28"/>
                <w:lang w:val="uk-UA"/>
              </w:rPr>
            </w:pPr>
          </w:p>
        </w:tc>
        <w:tc>
          <w:tcPr>
            <w:tcW w:w="3938" w:type="dxa"/>
          </w:tcPr>
          <w:p w14:paraId="0E85369E" w14:textId="77777777" w:rsidR="006116AB" w:rsidRPr="006116AB" w:rsidRDefault="006116AB" w:rsidP="006116AB">
            <w:pPr>
              <w:jc w:val="both"/>
              <w:rPr>
                <w:color w:val="292B2C"/>
                <w:sz w:val="20"/>
                <w:szCs w:val="20"/>
                <w:lang w:val="uk-UA"/>
              </w:rPr>
            </w:pPr>
            <w:proofErr w:type="spellStart"/>
            <w:r w:rsidRPr="006116AB">
              <w:rPr>
                <w:color w:val="292B2C"/>
                <w:sz w:val="20"/>
                <w:szCs w:val="20"/>
                <w:lang w:val="uk-UA"/>
              </w:rPr>
              <w:t>Гуцаленко</w:t>
            </w:r>
            <w:proofErr w:type="spellEnd"/>
            <w:r w:rsidRPr="006116AB">
              <w:rPr>
                <w:color w:val="292B2C"/>
                <w:sz w:val="20"/>
                <w:szCs w:val="20"/>
                <w:lang w:val="uk-UA"/>
              </w:rPr>
              <w:t xml:space="preserve"> Т.О.</w:t>
            </w:r>
          </w:p>
        </w:tc>
      </w:tr>
      <w:tr w:rsidR="006116AB" w:rsidRPr="006116AB" w14:paraId="47DBBD42" w14:textId="77777777" w:rsidTr="00A27FA7"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669F0E9B" w14:textId="77777777" w:rsidR="006116AB" w:rsidRPr="006116AB" w:rsidRDefault="006116AB" w:rsidP="006116AB">
            <w:pPr>
              <w:jc w:val="both"/>
              <w:rPr>
                <w:color w:val="292B2C"/>
                <w:sz w:val="28"/>
                <w:szCs w:val="28"/>
                <w:lang w:val="uk-UA"/>
              </w:rPr>
            </w:pPr>
          </w:p>
        </w:tc>
        <w:tc>
          <w:tcPr>
            <w:tcW w:w="3938" w:type="dxa"/>
          </w:tcPr>
          <w:p w14:paraId="7F004172" w14:textId="77777777" w:rsidR="006116AB" w:rsidRPr="006116AB" w:rsidRDefault="006116AB" w:rsidP="006116AB">
            <w:pPr>
              <w:jc w:val="both"/>
              <w:rPr>
                <w:color w:val="292B2C"/>
                <w:sz w:val="20"/>
                <w:szCs w:val="20"/>
                <w:lang w:val="uk-UA"/>
              </w:rPr>
            </w:pPr>
            <w:proofErr w:type="spellStart"/>
            <w:r w:rsidRPr="006116AB">
              <w:rPr>
                <w:color w:val="292B2C"/>
                <w:sz w:val="20"/>
                <w:szCs w:val="20"/>
                <w:lang w:val="uk-UA"/>
              </w:rPr>
              <w:t>Шаповалова</w:t>
            </w:r>
            <w:proofErr w:type="spellEnd"/>
            <w:r w:rsidRPr="006116AB">
              <w:rPr>
                <w:color w:val="292B2C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6116AB" w:rsidRPr="006116AB" w14:paraId="43D80F5F" w14:textId="77777777" w:rsidTr="00A27FA7"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53F856C8" w14:textId="77777777" w:rsidR="006116AB" w:rsidRPr="006116AB" w:rsidRDefault="006116AB" w:rsidP="006116AB">
            <w:pPr>
              <w:jc w:val="both"/>
              <w:rPr>
                <w:color w:val="292B2C"/>
                <w:sz w:val="28"/>
                <w:szCs w:val="28"/>
                <w:lang w:val="uk-UA"/>
              </w:rPr>
            </w:pPr>
          </w:p>
        </w:tc>
        <w:tc>
          <w:tcPr>
            <w:tcW w:w="3938" w:type="dxa"/>
          </w:tcPr>
          <w:p w14:paraId="79260D45" w14:textId="77777777" w:rsidR="006116AB" w:rsidRPr="006116AB" w:rsidRDefault="006116AB" w:rsidP="006116AB">
            <w:pPr>
              <w:jc w:val="both"/>
              <w:rPr>
                <w:color w:val="292B2C"/>
                <w:sz w:val="20"/>
                <w:szCs w:val="20"/>
                <w:lang w:val="uk-UA"/>
              </w:rPr>
            </w:pPr>
            <w:r w:rsidRPr="006116AB">
              <w:rPr>
                <w:color w:val="292B2C"/>
                <w:sz w:val="20"/>
                <w:szCs w:val="20"/>
                <w:lang w:val="uk-UA"/>
              </w:rPr>
              <w:t>Морозова Л.О.</w:t>
            </w:r>
          </w:p>
        </w:tc>
      </w:tr>
      <w:tr w:rsidR="006116AB" w:rsidRPr="006116AB" w14:paraId="61AD1C67" w14:textId="77777777" w:rsidTr="00A27FA7"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52D27A5D" w14:textId="77777777" w:rsidR="006116AB" w:rsidRPr="006116AB" w:rsidRDefault="006116AB" w:rsidP="006116AB">
            <w:pPr>
              <w:jc w:val="both"/>
              <w:rPr>
                <w:color w:val="292B2C"/>
                <w:sz w:val="28"/>
                <w:szCs w:val="28"/>
                <w:lang w:val="uk-UA"/>
              </w:rPr>
            </w:pPr>
          </w:p>
        </w:tc>
        <w:tc>
          <w:tcPr>
            <w:tcW w:w="3938" w:type="dxa"/>
          </w:tcPr>
          <w:p w14:paraId="6FAD2D3B" w14:textId="1DA66B77" w:rsidR="006116AB" w:rsidRPr="006116AB" w:rsidRDefault="006116AB" w:rsidP="006116AB">
            <w:pPr>
              <w:jc w:val="both"/>
              <w:rPr>
                <w:color w:val="292B2C"/>
                <w:sz w:val="20"/>
                <w:szCs w:val="20"/>
                <w:lang w:val="uk-UA"/>
              </w:rPr>
            </w:pPr>
            <w:r w:rsidRPr="006116AB">
              <w:rPr>
                <w:color w:val="292B2C"/>
                <w:sz w:val="20"/>
                <w:szCs w:val="20"/>
                <w:lang w:val="uk-UA"/>
              </w:rPr>
              <w:t>Золотарьова Н.М.</w:t>
            </w:r>
          </w:p>
        </w:tc>
      </w:tr>
      <w:tr w:rsidR="006116AB" w:rsidRPr="006116AB" w14:paraId="3AB159EE" w14:textId="77777777" w:rsidTr="00A27FA7"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492791E1" w14:textId="77777777" w:rsidR="006116AB" w:rsidRPr="006116AB" w:rsidRDefault="006116AB" w:rsidP="006116AB">
            <w:pPr>
              <w:jc w:val="both"/>
              <w:rPr>
                <w:color w:val="292B2C"/>
                <w:sz w:val="28"/>
                <w:szCs w:val="28"/>
                <w:lang w:val="uk-UA"/>
              </w:rPr>
            </w:pPr>
          </w:p>
        </w:tc>
        <w:tc>
          <w:tcPr>
            <w:tcW w:w="3938" w:type="dxa"/>
          </w:tcPr>
          <w:p w14:paraId="0E144540" w14:textId="77777777" w:rsidR="006116AB" w:rsidRPr="006116AB" w:rsidRDefault="006116AB" w:rsidP="006116AB">
            <w:pPr>
              <w:jc w:val="both"/>
              <w:rPr>
                <w:color w:val="292B2C"/>
                <w:sz w:val="20"/>
                <w:szCs w:val="20"/>
                <w:lang w:val="uk-UA"/>
              </w:rPr>
            </w:pPr>
            <w:proofErr w:type="spellStart"/>
            <w:r w:rsidRPr="006116AB">
              <w:rPr>
                <w:color w:val="292B2C"/>
                <w:sz w:val="20"/>
                <w:szCs w:val="20"/>
                <w:lang w:val="uk-UA"/>
              </w:rPr>
              <w:t>Еесалу</w:t>
            </w:r>
            <w:proofErr w:type="spellEnd"/>
            <w:r w:rsidRPr="006116AB">
              <w:rPr>
                <w:color w:val="292B2C"/>
                <w:sz w:val="20"/>
                <w:szCs w:val="20"/>
                <w:lang w:val="uk-UA"/>
              </w:rPr>
              <w:t xml:space="preserve"> Р.К</w:t>
            </w:r>
          </w:p>
        </w:tc>
      </w:tr>
      <w:tr w:rsidR="006116AB" w:rsidRPr="006116AB" w14:paraId="0E73D15F" w14:textId="77777777" w:rsidTr="00A27FA7">
        <w:tc>
          <w:tcPr>
            <w:tcW w:w="2407" w:type="dxa"/>
            <w:tcBorders>
              <w:bottom w:val="single" w:sz="4" w:space="0" w:color="auto"/>
            </w:tcBorders>
          </w:tcPr>
          <w:p w14:paraId="40D3C359" w14:textId="77777777" w:rsidR="006116AB" w:rsidRPr="006116AB" w:rsidRDefault="006116AB" w:rsidP="006116AB">
            <w:pPr>
              <w:jc w:val="both"/>
              <w:rPr>
                <w:color w:val="292B2C"/>
                <w:sz w:val="28"/>
                <w:szCs w:val="28"/>
                <w:lang w:val="uk-UA"/>
              </w:rPr>
            </w:pPr>
          </w:p>
        </w:tc>
        <w:tc>
          <w:tcPr>
            <w:tcW w:w="3938" w:type="dxa"/>
          </w:tcPr>
          <w:p w14:paraId="16F9F68A" w14:textId="2E4826C5" w:rsidR="006116AB" w:rsidRPr="006116AB" w:rsidRDefault="006116AB" w:rsidP="006116AB">
            <w:pPr>
              <w:jc w:val="both"/>
              <w:rPr>
                <w:color w:val="292B2C"/>
                <w:sz w:val="20"/>
                <w:szCs w:val="20"/>
                <w:lang w:val="uk-UA"/>
              </w:rPr>
            </w:pPr>
            <w:proofErr w:type="spellStart"/>
            <w:r w:rsidRPr="006116AB">
              <w:rPr>
                <w:color w:val="292B2C"/>
                <w:sz w:val="20"/>
                <w:szCs w:val="20"/>
                <w:lang w:val="uk-UA"/>
              </w:rPr>
              <w:t>Соляник</w:t>
            </w:r>
            <w:proofErr w:type="spellEnd"/>
            <w:r w:rsidRPr="006116AB">
              <w:rPr>
                <w:color w:val="292B2C"/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6116AB" w:rsidRPr="006116AB" w14:paraId="575C19B4" w14:textId="77777777" w:rsidTr="00A27FA7">
        <w:tc>
          <w:tcPr>
            <w:tcW w:w="2407" w:type="dxa"/>
            <w:tcBorders>
              <w:bottom w:val="single" w:sz="4" w:space="0" w:color="auto"/>
            </w:tcBorders>
          </w:tcPr>
          <w:p w14:paraId="0C33D6B2" w14:textId="77777777" w:rsidR="006116AB" w:rsidRPr="006116AB" w:rsidRDefault="006116AB" w:rsidP="006116AB">
            <w:pPr>
              <w:jc w:val="both"/>
              <w:rPr>
                <w:color w:val="292B2C"/>
                <w:sz w:val="28"/>
                <w:szCs w:val="28"/>
                <w:lang w:val="uk-UA"/>
              </w:rPr>
            </w:pPr>
          </w:p>
        </w:tc>
        <w:tc>
          <w:tcPr>
            <w:tcW w:w="3938" w:type="dxa"/>
          </w:tcPr>
          <w:p w14:paraId="3BC03272" w14:textId="0491AD08" w:rsidR="006116AB" w:rsidRPr="006116AB" w:rsidRDefault="006116AB" w:rsidP="006116AB">
            <w:pPr>
              <w:jc w:val="both"/>
              <w:rPr>
                <w:color w:val="292B2C"/>
                <w:sz w:val="20"/>
                <w:szCs w:val="20"/>
                <w:lang w:val="uk-UA"/>
              </w:rPr>
            </w:pPr>
            <w:proofErr w:type="spellStart"/>
            <w:r w:rsidRPr="006116AB">
              <w:rPr>
                <w:color w:val="292B2C"/>
                <w:sz w:val="20"/>
                <w:szCs w:val="20"/>
                <w:lang w:val="uk-UA"/>
              </w:rPr>
              <w:t>Сердюченко</w:t>
            </w:r>
            <w:proofErr w:type="spellEnd"/>
            <w:r>
              <w:rPr>
                <w:color w:val="292B2C"/>
                <w:sz w:val="20"/>
                <w:szCs w:val="20"/>
                <w:lang w:val="uk-UA"/>
              </w:rPr>
              <w:t xml:space="preserve"> </w:t>
            </w:r>
            <w:r w:rsidRPr="006116AB">
              <w:rPr>
                <w:color w:val="292B2C"/>
                <w:sz w:val="20"/>
                <w:szCs w:val="20"/>
                <w:lang w:val="uk-UA"/>
              </w:rPr>
              <w:t>Ю.П.</w:t>
            </w:r>
          </w:p>
        </w:tc>
      </w:tr>
      <w:tr w:rsidR="006116AB" w:rsidRPr="006116AB" w14:paraId="6F116316" w14:textId="77777777" w:rsidTr="00A27FA7">
        <w:tc>
          <w:tcPr>
            <w:tcW w:w="2407" w:type="dxa"/>
            <w:tcBorders>
              <w:bottom w:val="single" w:sz="4" w:space="0" w:color="auto"/>
            </w:tcBorders>
          </w:tcPr>
          <w:p w14:paraId="0352E383" w14:textId="77777777" w:rsidR="006116AB" w:rsidRPr="006116AB" w:rsidRDefault="006116AB" w:rsidP="006116AB">
            <w:pPr>
              <w:jc w:val="both"/>
              <w:rPr>
                <w:color w:val="292B2C"/>
                <w:sz w:val="28"/>
                <w:szCs w:val="28"/>
                <w:lang w:val="uk-UA"/>
              </w:rPr>
            </w:pPr>
          </w:p>
        </w:tc>
        <w:tc>
          <w:tcPr>
            <w:tcW w:w="3938" w:type="dxa"/>
          </w:tcPr>
          <w:p w14:paraId="1DEED941" w14:textId="6189F53A" w:rsidR="006116AB" w:rsidRPr="006116AB" w:rsidRDefault="006116AB" w:rsidP="006116AB">
            <w:pPr>
              <w:jc w:val="both"/>
              <w:rPr>
                <w:color w:val="292B2C"/>
                <w:sz w:val="20"/>
                <w:szCs w:val="20"/>
                <w:lang w:val="uk-UA"/>
              </w:rPr>
            </w:pPr>
            <w:proofErr w:type="spellStart"/>
            <w:r>
              <w:rPr>
                <w:color w:val="292B2C"/>
                <w:sz w:val="20"/>
                <w:szCs w:val="20"/>
                <w:lang w:val="uk-UA"/>
              </w:rPr>
              <w:t>Рой</w:t>
            </w:r>
            <w:proofErr w:type="spellEnd"/>
            <w:r>
              <w:rPr>
                <w:color w:val="292B2C"/>
                <w:sz w:val="20"/>
                <w:szCs w:val="20"/>
                <w:lang w:val="uk-UA"/>
              </w:rPr>
              <w:t xml:space="preserve"> А.В.</w:t>
            </w:r>
          </w:p>
        </w:tc>
      </w:tr>
    </w:tbl>
    <w:p w14:paraId="091336FC" w14:textId="77777777" w:rsidR="006116AB" w:rsidRPr="006116AB" w:rsidRDefault="006116AB" w:rsidP="006116AB">
      <w:pPr>
        <w:ind w:left="5040" w:firstLine="720"/>
        <w:jc w:val="both"/>
        <w:rPr>
          <w:color w:val="292B2C"/>
          <w:sz w:val="28"/>
          <w:szCs w:val="28"/>
          <w:lang w:val="uk-UA"/>
        </w:rPr>
      </w:pPr>
    </w:p>
    <w:p w14:paraId="470152BE" w14:textId="77777777" w:rsidR="00DA65FC" w:rsidRPr="00DA65FC" w:rsidRDefault="00DA65FC" w:rsidP="00DA65FC">
      <w:pPr>
        <w:jc w:val="both"/>
        <w:rPr>
          <w:lang w:val="uk-UA"/>
        </w:rPr>
      </w:pPr>
    </w:p>
    <w:p w14:paraId="18D01F56" w14:textId="77777777" w:rsidR="00DA65FC" w:rsidRDefault="00DA65FC" w:rsidP="00DA65FC">
      <w:pPr>
        <w:jc w:val="both"/>
        <w:rPr>
          <w:lang w:val="uk-UA"/>
        </w:rPr>
      </w:pPr>
    </w:p>
    <w:p w14:paraId="2B666A9A" w14:textId="77777777" w:rsidR="002E3124" w:rsidRDefault="002E3124" w:rsidP="00DA65FC">
      <w:pPr>
        <w:jc w:val="both"/>
        <w:rPr>
          <w:lang w:val="uk-UA"/>
        </w:rPr>
      </w:pPr>
    </w:p>
    <w:p w14:paraId="131468D2" w14:textId="77777777" w:rsidR="002E3124" w:rsidRDefault="002E3124" w:rsidP="00DA65FC">
      <w:pPr>
        <w:jc w:val="both"/>
        <w:rPr>
          <w:lang w:val="uk-UA"/>
        </w:rPr>
      </w:pPr>
    </w:p>
    <w:p w14:paraId="1105EFB9" w14:textId="77777777" w:rsidR="002E3124" w:rsidRDefault="002E3124" w:rsidP="00DA65FC">
      <w:pPr>
        <w:jc w:val="both"/>
        <w:rPr>
          <w:lang w:val="uk-UA"/>
        </w:rPr>
      </w:pPr>
    </w:p>
    <w:p w14:paraId="2BCA3EDC" w14:textId="77777777" w:rsidR="002E3124" w:rsidRDefault="002E3124" w:rsidP="00DA65FC">
      <w:pPr>
        <w:jc w:val="both"/>
        <w:rPr>
          <w:lang w:val="uk-UA"/>
        </w:rPr>
      </w:pPr>
    </w:p>
    <w:p w14:paraId="08DA4FAC" w14:textId="77777777" w:rsidR="002E3124" w:rsidRDefault="002E3124" w:rsidP="00DA65FC">
      <w:pPr>
        <w:jc w:val="both"/>
        <w:rPr>
          <w:lang w:val="uk-UA"/>
        </w:rPr>
      </w:pPr>
    </w:p>
    <w:p w14:paraId="3A2F337B" w14:textId="77777777" w:rsidR="002E3124" w:rsidRDefault="002E3124" w:rsidP="00DA65FC">
      <w:pPr>
        <w:jc w:val="both"/>
        <w:rPr>
          <w:lang w:val="uk-UA"/>
        </w:rPr>
      </w:pPr>
    </w:p>
    <w:p w14:paraId="3FD6BFCA" w14:textId="77777777" w:rsidR="002E3124" w:rsidRDefault="002E3124" w:rsidP="00DA65FC">
      <w:pPr>
        <w:jc w:val="both"/>
        <w:rPr>
          <w:lang w:val="uk-UA"/>
        </w:rPr>
      </w:pPr>
    </w:p>
    <w:p w14:paraId="2C887483" w14:textId="77777777" w:rsidR="002E3124" w:rsidRDefault="002E3124" w:rsidP="00DA65FC">
      <w:pPr>
        <w:jc w:val="both"/>
        <w:rPr>
          <w:lang w:val="uk-UA"/>
        </w:rPr>
      </w:pPr>
    </w:p>
    <w:p w14:paraId="09EA8E0D" w14:textId="77777777" w:rsidR="002E3124" w:rsidRDefault="002E3124" w:rsidP="00DA65FC">
      <w:pPr>
        <w:jc w:val="both"/>
        <w:rPr>
          <w:lang w:val="uk-UA"/>
        </w:rPr>
      </w:pPr>
    </w:p>
    <w:p w14:paraId="06582EA4" w14:textId="77777777" w:rsidR="002E3124" w:rsidRDefault="002E3124" w:rsidP="00DA65FC">
      <w:pPr>
        <w:jc w:val="both"/>
        <w:rPr>
          <w:lang w:val="uk-UA"/>
        </w:rPr>
      </w:pPr>
    </w:p>
    <w:p w14:paraId="0001F99D" w14:textId="77777777" w:rsidR="002E3124" w:rsidRDefault="002E3124" w:rsidP="00DA65FC">
      <w:pPr>
        <w:jc w:val="both"/>
        <w:rPr>
          <w:lang w:val="uk-UA"/>
        </w:rPr>
      </w:pPr>
    </w:p>
    <w:p w14:paraId="66D199B4" w14:textId="77777777" w:rsidR="002E3124" w:rsidRDefault="002E3124" w:rsidP="00DA65FC">
      <w:pPr>
        <w:jc w:val="both"/>
        <w:rPr>
          <w:lang w:val="uk-UA"/>
        </w:rPr>
      </w:pPr>
    </w:p>
    <w:p w14:paraId="12028BE6" w14:textId="77777777" w:rsidR="002E3124" w:rsidRDefault="002E3124" w:rsidP="00DA65FC">
      <w:pPr>
        <w:jc w:val="both"/>
        <w:rPr>
          <w:lang w:val="uk-UA"/>
        </w:rPr>
      </w:pPr>
    </w:p>
    <w:p w14:paraId="06BDC169" w14:textId="77777777" w:rsidR="002E3124" w:rsidRDefault="002E3124" w:rsidP="00DA65FC">
      <w:pPr>
        <w:jc w:val="both"/>
        <w:rPr>
          <w:lang w:val="uk-UA"/>
        </w:rPr>
      </w:pPr>
    </w:p>
    <w:p w14:paraId="38B19E3B" w14:textId="77777777" w:rsidR="002E3124" w:rsidRDefault="002E3124" w:rsidP="00DA65FC">
      <w:pPr>
        <w:jc w:val="both"/>
        <w:rPr>
          <w:lang w:val="uk-UA"/>
        </w:rPr>
      </w:pPr>
    </w:p>
    <w:p w14:paraId="1110030C" w14:textId="2E518D05" w:rsidR="002E3124" w:rsidRPr="002E3124" w:rsidRDefault="002E3124" w:rsidP="00DA65FC">
      <w:pPr>
        <w:jc w:val="both"/>
        <w:rPr>
          <w:sz w:val="16"/>
          <w:szCs w:val="16"/>
          <w:lang w:val="uk-UA"/>
        </w:rPr>
      </w:pPr>
      <w:r w:rsidRPr="002E3124">
        <w:rPr>
          <w:sz w:val="16"/>
          <w:szCs w:val="16"/>
          <w:lang w:val="uk-UA"/>
        </w:rPr>
        <w:t xml:space="preserve">Ірина </w:t>
      </w:r>
      <w:proofErr w:type="spellStart"/>
      <w:r w:rsidRPr="002E3124">
        <w:rPr>
          <w:sz w:val="16"/>
          <w:szCs w:val="16"/>
          <w:lang w:val="uk-UA"/>
        </w:rPr>
        <w:t>Соляник</w:t>
      </w:r>
      <w:proofErr w:type="spellEnd"/>
    </w:p>
    <w:sectPr w:rsidR="002E3124" w:rsidRPr="002E31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0298"/>
    <w:multiLevelType w:val="multilevel"/>
    <w:tmpl w:val="58DA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3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94"/>
    <w:rsid w:val="0003545B"/>
    <w:rsid w:val="00057433"/>
    <w:rsid w:val="002E3124"/>
    <w:rsid w:val="003A71F8"/>
    <w:rsid w:val="00501114"/>
    <w:rsid w:val="00556D99"/>
    <w:rsid w:val="006116AB"/>
    <w:rsid w:val="006C02BC"/>
    <w:rsid w:val="00906BE7"/>
    <w:rsid w:val="00984B94"/>
    <w:rsid w:val="009B0A53"/>
    <w:rsid w:val="009E0706"/>
    <w:rsid w:val="00AC4E8C"/>
    <w:rsid w:val="00AF584C"/>
    <w:rsid w:val="00D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A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2BC"/>
    <w:pPr>
      <w:ind w:left="720"/>
      <w:contextualSpacing/>
    </w:pPr>
  </w:style>
  <w:style w:type="character" w:customStyle="1" w:styleId="zk-definition-listitem-text">
    <w:name w:val="zk-definition-list__item-text"/>
    <w:basedOn w:val="a0"/>
    <w:rsid w:val="006116AB"/>
  </w:style>
  <w:style w:type="character" w:styleId="a5">
    <w:name w:val="Hyperlink"/>
    <w:basedOn w:val="a0"/>
    <w:uiPriority w:val="99"/>
    <w:semiHidden/>
    <w:unhideWhenUsed/>
    <w:rsid w:val="006116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2BC"/>
    <w:pPr>
      <w:ind w:left="720"/>
      <w:contextualSpacing/>
    </w:pPr>
  </w:style>
  <w:style w:type="character" w:customStyle="1" w:styleId="zk-definition-listitem-text">
    <w:name w:val="zk-definition-list__item-text"/>
    <w:basedOn w:val="a0"/>
    <w:rsid w:val="006116AB"/>
  </w:style>
  <w:style w:type="character" w:styleId="a5">
    <w:name w:val="Hyperlink"/>
    <w:basedOn w:val="a0"/>
    <w:uiPriority w:val="99"/>
    <w:semiHidden/>
    <w:unhideWhenUsed/>
    <w:rsid w:val="00611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svitaizuma.klasn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2415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10</cp:revision>
  <cp:lastPrinted>2021-03-11T12:10:00Z</cp:lastPrinted>
  <dcterms:created xsi:type="dcterms:W3CDTF">2021-03-11T09:15:00Z</dcterms:created>
  <dcterms:modified xsi:type="dcterms:W3CDTF">2021-03-11T13:56:00Z</dcterms:modified>
</cp:coreProperties>
</file>