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7" w:rsidRPr="00464B5A" w:rsidRDefault="00996CC7" w:rsidP="00E15E5D">
      <w:pPr>
        <w:pStyle w:val="a3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217.75pt;margin-top:4.05pt;width:36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w10:wrap type="topAndBottom"/>
          </v:shape>
        </w:pict>
      </w:r>
    </w:p>
    <w:p w:rsidR="00B864C7" w:rsidRPr="00E15E5D" w:rsidRDefault="00B864C7" w:rsidP="00E15E5D">
      <w:pPr>
        <w:pStyle w:val="a3"/>
        <w:jc w:val="center"/>
        <w:rPr>
          <w:b/>
          <w:sz w:val="28"/>
          <w:szCs w:val="28"/>
        </w:rPr>
      </w:pPr>
      <w:r w:rsidRPr="00E15E5D">
        <w:rPr>
          <w:b/>
          <w:sz w:val="28"/>
          <w:szCs w:val="28"/>
        </w:rPr>
        <w:t>УКРАЇНА</w:t>
      </w:r>
    </w:p>
    <w:p w:rsidR="00B864C7" w:rsidRPr="00E15E5D" w:rsidRDefault="00B864C7" w:rsidP="00E15E5D">
      <w:pPr>
        <w:pStyle w:val="a3"/>
        <w:jc w:val="center"/>
        <w:rPr>
          <w:b/>
          <w:sz w:val="28"/>
          <w:szCs w:val="28"/>
        </w:rPr>
      </w:pPr>
    </w:p>
    <w:p w:rsidR="00B864C7" w:rsidRPr="00E15E5D" w:rsidRDefault="00B864C7" w:rsidP="00E15E5D">
      <w:pPr>
        <w:pStyle w:val="a3"/>
        <w:jc w:val="center"/>
        <w:rPr>
          <w:b/>
          <w:sz w:val="28"/>
          <w:szCs w:val="28"/>
        </w:rPr>
      </w:pPr>
      <w:r w:rsidRPr="00E15E5D">
        <w:rPr>
          <w:b/>
          <w:sz w:val="28"/>
          <w:szCs w:val="28"/>
        </w:rPr>
        <w:t>УПРАВЛІННЯ ОСВІТИ</w:t>
      </w:r>
    </w:p>
    <w:p w:rsidR="00B864C7" w:rsidRPr="00E15E5D" w:rsidRDefault="00B864C7" w:rsidP="00E15E5D">
      <w:pPr>
        <w:pStyle w:val="a3"/>
        <w:jc w:val="center"/>
        <w:rPr>
          <w:b/>
          <w:sz w:val="28"/>
          <w:szCs w:val="28"/>
        </w:rPr>
      </w:pPr>
      <w:r w:rsidRPr="00E15E5D">
        <w:rPr>
          <w:b/>
          <w:sz w:val="28"/>
          <w:szCs w:val="28"/>
        </w:rPr>
        <w:t>ІЗЮМСЬКОЇ МІСЬКОЇ РАДИ</w:t>
      </w:r>
    </w:p>
    <w:p w:rsidR="00B864C7" w:rsidRPr="00E15E5D" w:rsidRDefault="00B864C7" w:rsidP="00E15E5D">
      <w:pPr>
        <w:pStyle w:val="a3"/>
        <w:jc w:val="center"/>
        <w:rPr>
          <w:b/>
          <w:sz w:val="28"/>
          <w:szCs w:val="28"/>
        </w:rPr>
      </w:pPr>
      <w:r w:rsidRPr="00E15E5D">
        <w:rPr>
          <w:b/>
          <w:sz w:val="28"/>
          <w:szCs w:val="28"/>
        </w:rPr>
        <w:t>ХАРКІВСЬКОЇ ОБЛАСТІ</w:t>
      </w:r>
    </w:p>
    <w:p w:rsidR="00B864C7" w:rsidRPr="00E15E5D" w:rsidRDefault="00B864C7" w:rsidP="00E15E5D">
      <w:pPr>
        <w:pStyle w:val="a3"/>
        <w:jc w:val="center"/>
        <w:rPr>
          <w:b/>
          <w:sz w:val="28"/>
          <w:szCs w:val="28"/>
        </w:rPr>
      </w:pPr>
    </w:p>
    <w:p w:rsidR="00B864C7" w:rsidRPr="00E15E5D" w:rsidRDefault="00B864C7" w:rsidP="00E15E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E15E5D">
        <w:rPr>
          <w:rFonts w:ascii="Times New Roman" w:eastAsia="Times New Roman" w:hAnsi="Times New Roman"/>
          <w:b/>
          <w:sz w:val="28"/>
          <w:szCs w:val="28"/>
          <w:lang w:eastAsia="x-none"/>
        </w:rPr>
        <w:t>НАКАЗ</w:t>
      </w:r>
    </w:p>
    <w:p w:rsidR="00B864C7" w:rsidRPr="00E15E5D" w:rsidRDefault="00B864C7" w:rsidP="00E15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94" w:rsidRDefault="00996CC7" w:rsidP="00996CC7">
      <w:pPr>
        <w:pStyle w:val="a3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31.05.2017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300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E15E5D" w:rsidTr="00A17DE5">
        <w:tc>
          <w:tcPr>
            <w:tcW w:w="4820" w:type="dxa"/>
            <w:shd w:val="clear" w:color="auto" w:fill="auto"/>
          </w:tcPr>
          <w:p w:rsidR="00E15E5D" w:rsidRPr="00A17DE5" w:rsidRDefault="00E15E5D" w:rsidP="00A17D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A17D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організацію обліку дітей дошкільного віку у 2017 році</w:t>
            </w:r>
          </w:p>
        </w:tc>
      </w:tr>
    </w:tbl>
    <w:p w:rsidR="00E15E5D" w:rsidRPr="00E15E5D" w:rsidRDefault="00E15E5D" w:rsidP="00E15E5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частини 2 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статті 19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дошкільну освіту», статті 32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>акон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України «Про місцеве самоврядування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Україні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листа Міністерства освіти і науки України від 28.04.2015 року № 1/9-215 «Щодо обліку дітей дошкільного віку», рішення виконавчого комітету Ізюмської міської ради </w:t>
      </w:r>
      <w:r w:rsidR="00B864C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24.05.2017 року № 0413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організацію обліку дітей дошкільного віку у 2016 році», 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забезпечення якісного обліку дітей дошкільного віку, що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прожив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ають на території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міста Ізюма</w:t>
      </w:r>
      <w:r w:rsidRPr="006E4445">
        <w:rPr>
          <w:rFonts w:ascii="Times New Roman" w:hAnsi="Times New Roman"/>
          <w:color w:val="000000"/>
          <w:sz w:val="28"/>
          <w:szCs w:val="28"/>
          <w:lang w:val="uk-UA" w:eastAsia="ru-RU"/>
        </w:rPr>
        <w:t>, для прогнозування мережі груп дошкільних навчальних закладів відповідно до освітніх запитів населення та створення умов для здобуття громадянами дошкільної освіти</w:t>
      </w:r>
    </w:p>
    <w:p w:rsidR="00E15E5D" w:rsidRDefault="00E15E5D" w:rsidP="00E15E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E5D" w:rsidRPr="006E4445" w:rsidRDefault="00E15E5D" w:rsidP="00E15E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6E4445" w:rsidRDefault="00B10D94" w:rsidP="00E15E5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4445">
        <w:rPr>
          <w:rFonts w:ascii="Times New Roman" w:hAnsi="Times New Roman"/>
          <w:color w:val="000000"/>
          <w:sz w:val="28"/>
          <w:szCs w:val="28"/>
          <w:lang w:eastAsia="ru-RU"/>
        </w:rPr>
        <w:t>НАКАЗУЮ:</w:t>
      </w:r>
    </w:p>
    <w:p w:rsidR="00B10D94" w:rsidRPr="006E3F12" w:rsidRDefault="00B10D94" w:rsidP="00E15E5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Здійснити координацію та організаційно-методичні заходи щодо обліку дітей дошкільного віку. </w:t>
      </w:r>
    </w:p>
    <w:p w:rsidR="00B10D94" w:rsidRPr="006E3F12" w:rsidRDefault="00B10D94" w:rsidP="00E15E5D">
      <w:pPr>
        <w:pStyle w:val="a5"/>
        <w:shd w:val="clear" w:color="auto" w:fill="FFFFFF"/>
        <w:spacing w:after="0" w:line="36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.06.201</w:t>
      </w:r>
      <w:r w:rsidR="00B864C7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30.09.201</w:t>
      </w:r>
      <w:r w:rsidR="00B864C7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завідувачів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дошкільних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навчальних закладів відповідальними за проведення обліку дітей дошкільного віку, які проживають на закріпленій за закладами території обслуговування.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 Завідувачам дошкільних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навчальних закладів: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3.1.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Видати наказ про створення робочих груп з обліку дітей дошкільного віку на території обслуговування, закріпленої за навчальним закладом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(додаток 1)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3.2.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Направити до у</w:t>
      </w:r>
      <w:r w:rsidR="00B864C7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правління освіти Ізюмської міської ради Харківської області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копію наказу про створення робочих груп з обліку дітей дошкільного віку. </w:t>
      </w:r>
    </w:p>
    <w:p w:rsidR="00B10D94" w:rsidRPr="006E3F12" w:rsidRDefault="005D5685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10D94"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B10D94"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3.3.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Затвердити план заходів щодо організації обліку дітей дошкільного віку, які проживають на території 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обслуговування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) 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3.4. Направити 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у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правління освіти Ізюмської міської ради Харківської області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копію плану заходів щодо організації обліку дітей дошкільного віку. </w:t>
      </w:r>
    </w:p>
    <w:p w:rsidR="00B10D94" w:rsidRPr="006E3F12" w:rsidRDefault="005D5685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1</w:t>
      </w:r>
      <w:r w:rsidR="00B10D94"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 w:rsidR="00B10D94"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3.5. Забезпечити умови для роботи робочої групи з обліку дітей дошкільного віку. 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З 1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30.09.201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3.6. Провести організаційно-роз’яснювальну роботу з членами робочої групи з обліку дітей дошкільного віку. </w:t>
      </w:r>
    </w:p>
    <w:p w:rsidR="00B10D94" w:rsidRPr="006E3F12" w:rsidRDefault="005D5685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01.06.2017 по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1</w:t>
      </w:r>
      <w:r w:rsidR="00B10D94">
        <w:rPr>
          <w:rFonts w:ascii="Times New Roman" w:hAnsi="Times New Roman"/>
          <w:color w:val="000000"/>
          <w:sz w:val="28"/>
          <w:szCs w:val="28"/>
          <w:lang w:val="uk-UA" w:eastAsia="ru-RU"/>
        </w:rPr>
        <w:t>5.06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3.7. Скласти списки дітей дошкільного віку на підставі документів первинного обліку громадян, що зберігаються в органах місцевого самоврядування, у житлово-експлуатаційних організаціях тощо. 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.08.201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3.8. Уточнити списки дітей дошкільного віку, які не перебувають на первинному обліку, але проживають на даній території, безпосередньо за місцем проживання дітей. 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 15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.08.201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 15.09.201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3.9. Надати 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до у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правління освіти Ізюмської міської ради Харківської області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уточнені списки дітей дошкільного віку (прошиті, пронумеровані, скріплені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печаткою) з обов’язковою приміткою про різні форми здобуття дітьми дошкільної освіти (дошкільний навчальний заклад або короткотривале перебування в дошкільному навчальному закладі, соціально-педагогічний патронат тощо)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персоніфікований банк даних дітей дошкільного віку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), інформацію про загальну кількість дитячого насел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ення від 0 до 6 років (додаток 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інформацію про форми здобуття дітьми дошкільної освіти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6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), реєстр дітей старшого дошкільного віку (додаток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). Вищевказані документи подавати в паперовому та електронному варіантах. 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3.10. Проводити роз’яснювальну роботу серед педагогічних працівників та населення з питання обліку дітей дошкільного віку.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Постійно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Начальнику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відділу 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змісту та якості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освіти 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правління освіти Ізюмської міської ради Харківської області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Васько Н.О.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4.1. Створити персоніфікований банк даних дітей дошкільного віку.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4.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 Узагальнити інформацію про кількість дітей дошкільного віку та форми здобуття ними дошкільної освіти.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>0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Pr="006E3F12" w:rsidRDefault="00332341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4.3</w:t>
      </w:r>
      <w:r w:rsidR="00B10D94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 Направити узагальнені дані про облік дітей дошкільного віку до Департаменту науки і освіти Харківської обласної державної адміністрації.</w:t>
      </w:r>
    </w:p>
    <w:p w:rsidR="00B10D94" w:rsidRPr="006E3F12" w:rsidRDefault="00B10D94" w:rsidP="00E15E5D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>25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.09.201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</w:p>
    <w:p w:rsidR="00B10D94" w:rsidRDefault="00B10D94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5. Контроль за виконанням 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даного </w:t>
      </w:r>
      <w:r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>наказу покласти на заст</w:t>
      </w:r>
      <w:r w:rsidR="005D5685">
        <w:rPr>
          <w:rFonts w:ascii="Times New Roman" w:hAnsi="Times New Roman"/>
          <w:color w:val="000000"/>
          <w:sz w:val="28"/>
          <w:szCs w:val="28"/>
          <w:lang w:val="uk-UA" w:eastAsia="ru-RU"/>
        </w:rPr>
        <w:t>упника начальника</w:t>
      </w:r>
      <w:r w:rsidR="00332341" w:rsidRPr="006E3F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</w:t>
      </w:r>
      <w:r w:rsidR="00332341"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правління освіти з навчально-виховної роботи Мартинова В.О.</w:t>
      </w:r>
    </w:p>
    <w:p w:rsidR="005D5685" w:rsidRDefault="005D5685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D5685" w:rsidRPr="006E3F12" w:rsidRDefault="005D5685" w:rsidP="00E15E5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10D94" w:rsidRPr="00612A9D" w:rsidRDefault="00332341" w:rsidP="00E15E5D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 xml:space="preserve"> освіти</w:t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ab/>
      </w:r>
      <w:r w:rsidR="00B10D94" w:rsidRPr="00612A9D">
        <w:rPr>
          <w:rFonts w:ascii="Times New Roman" w:hAnsi="Times New Roman"/>
          <w:b/>
          <w:sz w:val="28"/>
          <w:szCs w:val="28"/>
          <w:lang w:val="uk-UA"/>
        </w:rPr>
        <w:tab/>
        <w:t>О.П.Лесик</w:t>
      </w:r>
    </w:p>
    <w:p w:rsidR="00B10D94" w:rsidRPr="006E3F12" w:rsidRDefault="00B10D94" w:rsidP="00E15E5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Васько, 2-21-14</w:t>
      </w:r>
    </w:p>
    <w:p w:rsidR="00B10D94" w:rsidRPr="005D5685" w:rsidRDefault="00996CC7" w:rsidP="00E15E5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5D5685"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B10D94" w:rsidRPr="005D5685" w:rsidRDefault="00B10D94" w:rsidP="00E15E5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5D5685">
        <w:rPr>
          <w:rFonts w:ascii="Times New Roman" w:hAnsi="Times New Roman"/>
          <w:sz w:val="24"/>
          <w:szCs w:val="24"/>
          <w:lang w:val="uk-UA"/>
        </w:rPr>
        <w:t xml:space="preserve">до наказу </w:t>
      </w:r>
      <w:r w:rsidR="005D5685" w:rsidRPr="005D5685">
        <w:rPr>
          <w:rFonts w:ascii="Times New Roman" w:hAnsi="Times New Roman"/>
          <w:color w:val="000000"/>
          <w:sz w:val="24"/>
          <w:szCs w:val="24"/>
          <w:lang w:val="uk-UA" w:eastAsia="ru-RU"/>
        </w:rPr>
        <w:t>до управління освіти Ізюмської міської ради Харківської області</w:t>
      </w:r>
    </w:p>
    <w:p w:rsidR="00B10D94" w:rsidRPr="00FD62B3" w:rsidRDefault="005D5685" w:rsidP="00E15E5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B10D94" w:rsidRPr="00FD62B3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B10D94" w:rsidRPr="00FD62B3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B10D94" w:rsidRPr="00FD62B3">
        <w:rPr>
          <w:rFonts w:ascii="Times New Roman" w:hAnsi="Times New Roman"/>
          <w:sz w:val="24"/>
          <w:szCs w:val="24"/>
          <w:lang w:val="uk-UA"/>
        </w:rPr>
        <w:t xml:space="preserve"> р. 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</w:p>
    <w:p w:rsidR="00B10D94" w:rsidRPr="009256CA" w:rsidRDefault="00B10D94" w:rsidP="00E1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Територія обслуговування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№2 комбінованого типу Ізюмської міської ради Харківської області з обліку дітей дошкільного віку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0D94" w:rsidRPr="00A13D91" w:rsidTr="009256CA">
        <w:tc>
          <w:tcPr>
            <w:tcW w:w="4785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Суходольська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20 років Жовтню)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Бабенківська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Пікассо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Бакалова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Бондаренка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Бригадирівська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Виноградна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Вознесенська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Воротного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60-ї Гвардійської дивізії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Гвардійська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Гомоненка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Горького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Донецька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Генерала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Кульчицького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вулиця Жовтнева)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Заводська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Залізнична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Зелений Гай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Зміївська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Київська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Європейська (колишня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Комсомольська)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Кооперативна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Лізи Чайкіної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Липчанівська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Ломоносова до №132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Матросова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Михайлівська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Некрасова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Осипенка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Олександра Островського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Островського)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Патона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Північна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Польова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Путійна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Радіо</w:t>
            </w:r>
          </w:p>
          <w:p w:rsidR="00B10D94" w:rsidRPr="00A13D91" w:rsidRDefault="005D5685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 w:rsidR="00B10D94"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китна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Республіканська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Стадіонна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Суворова</w:t>
            </w:r>
          </w:p>
        </w:tc>
        <w:tc>
          <w:tcPr>
            <w:tcW w:w="4786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Суходольський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(колишній 20 років Жовтню)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Вишневий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Вірменський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Воронезький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Української Армії (колишній провулок Гайдара)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Гомоненка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Залізничний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Зелений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Зелений Гай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Інженерний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Калиновий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Європейський (колишній провулок Комсомольський)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Красивий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Липовий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Матросова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Мічуріна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Північний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Рокитний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Російський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Суворова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Східний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Стадіонний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Веселий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в’їзд Гвардійський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Лізи Чайкіної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Олександра Островського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Островського)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Радіо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Веселий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Європейський (колишній проїзд Комсомольський)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Лізи Чайкіної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вулиця Тепловозна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Українська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Генерала Недбайла (колишня вулиця Чапаєва) з №153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Чернишевського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D5685" w:rsidRDefault="005D5685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D5685" w:rsidRDefault="005D5685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D5685" w:rsidRDefault="005D5685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D5685" w:rsidRDefault="005D5685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D5685" w:rsidRDefault="005D5685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D5685" w:rsidRDefault="005D5685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15E5D" w:rsidRPr="00FD62B3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№4 комбінованого типу Ізюмської міської ради Харківської області з обліку дітей дошкільного віку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/>
        </w:rPr>
        <w:sectPr w:rsidR="00B10D94" w:rsidRPr="00FD62B3" w:rsidSect="00252007">
          <w:pgSz w:w="11906" w:h="16838"/>
          <w:pgMar w:top="1134" w:right="849" w:bottom="1134" w:left="1701" w:header="720" w:footer="720" w:gutter="0"/>
          <w:cols w:space="720"/>
          <w:docGrid w:linePitch="299"/>
        </w:sectPr>
      </w:pP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проспект Незалежності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(колишній проспект Леніна)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Борисоглібська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(колишня вулиця Маяковського)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Малоподвірська</w:t>
      </w:r>
      <w:proofErr w:type="spellEnd"/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Приладобудівників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(колишня 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Комінтерна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Робоча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Слов’янська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Спортивна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Т</w:t>
      </w:r>
      <w:r w:rsidR="005D5685">
        <w:rPr>
          <w:rFonts w:ascii="Times New Roman" w:hAnsi="Times New Roman"/>
          <w:sz w:val="24"/>
          <w:szCs w:val="24"/>
          <w:lang w:val="uk-UA"/>
        </w:rPr>
        <w:t>і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мірязєва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Тютчева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Ангарський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Приладобудівників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Комінтерна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провулок. Колодязний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Крутогірський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провулок.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Малоподвірський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Нижньо-Садовий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Подвірський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Полковника Денисенка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Фурманова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провулок Слов’янський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Спортивний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Терновий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Т</w:t>
      </w:r>
      <w:r w:rsidR="005D5685">
        <w:rPr>
          <w:rFonts w:ascii="Times New Roman" w:hAnsi="Times New Roman"/>
          <w:sz w:val="24"/>
          <w:szCs w:val="24"/>
          <w:lang w:val="uk-UA"/>
        </w:rPr>
        <w:t>і</w:t>
      </w:r>
      <w:r w:rsidRPr="00FD62B3">
        <w:rPr>
          <w:rFonts w:ascii="Times New Roman" w:hAnsi="Times New Roman"/>
          <w:sz w:val="24"/>
          <w:szCs w:val="24"/>
          <w:lang w:val="uk-UA"/>
        </w:rPr>
        <w:t>мірязєва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Трьохгірний</w:t>
      </w:r>
      <w:proofErr w:type="spellEnd"/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Ангарський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Приладобудівників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Комінтерна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Братський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Волзький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Колодязний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Крутогірський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Малоподвірський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Нижньо-Садовий</w:t>
      </w:r>
      <w:proofErr w:type="spellEnd"/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Омський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Полковника Денисенка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Фурманова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Робочий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Саянський</w:t>
      </w:r>
      <w:proofErr w:type="spellEnd"/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Слов’янський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Тимірязєва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Малоподвірський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проїзд Спортивний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  <w:sectPr w:rsidR="00B10D94" w:rsidRPr="00FD62B3" w:rsidSect="00FD62B3">
          <w:type w:val="continuous"/>
          <w:pgSz w:w="11906" w:h="16838"/>
          <w:pgMar w:top="567" w:right="1134" w:bottom="709" w:left="2268" w:header="720" w:footer="720" w:gutter="0"/>
          <w:cols w:num="2" w:space="720"/>
        </w:sect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15E5D" w:rsidRPr="00FD62B3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№6 Ізюмської міської ради Харківської області з обліку дітей дошкільного віку</w:t>
      </w:r>
    </w:p>
    <w:tbl>
      <w:tblPr>
        <w:tblW w:w="8874" w:type="dxa"/>
        <w:tblInd w:w="675" w:type="dxa"/>
        <w:tblLook w:val="01E0" w:firstRow="1" w:lastRow="1" w:firstColumn="1" w:lastColumn="1" w:noHBand="0" w:noVBand="0"/>
      </w:tblPr>
      <w:tblGrid>
        <w:gridCol w:w="3190"/>
        <w:gridCol w:w="3047"/>
        <w:gridCol w:w="2637"/>
      </w:tblGrid>
      <w:tr w:rsidR="00B10D94" w:rsidRPr="00A13D91" w:rsidTr="00252007">
        <w:tc>
          <w:tcPr>
            <w:tcW w:w="3190" w:type="dxa"/>
          </w:tcPr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Аляб’єва №№ 1-49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Басейна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Бугриста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Броварська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Комуністична)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Весняна (колишня вулиця 10 років Жовтню) з №1 до №44</w:t>
            </w:r>
            <w:r w:rsidRPr="00FD62B3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Гомельська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Горянська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Депутатська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Довженка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Дорожня 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вул. Європейська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(колишня вулиця Комсомольська) 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Житомирська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Загородня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Запорізька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Івана Мирошниченка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Кірова)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Короленка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Красильна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Краснокутського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Володарського)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Кринична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Кришталева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Лермонтова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Лугова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Московська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Михайла Петренка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Пархоменка)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Олекси Довбуша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Одеська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Павлова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Партизанська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Піщана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П’єра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Береговуа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вулиця Димитрова)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Полтавська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7" w:type="dxa"/>
          </w:tcPr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Попова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Архієрейська (колишня вулиця Радгоспна) 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Радіщева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Родникова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Степана Разіна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Сергія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Тюленіна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Свободи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Селянська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Степова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Сумська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Технічна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Шота Руставелі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Філатова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Халтуріна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Цусимська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Червоногірська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№№ 1-60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Чумацька (колишня вулиця Калініна)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Шекспіра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Шкільна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вулиця Шмідта №№1-45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площа Кринична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Аляб’єва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Басейний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Бугристий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Броварський (колишній провулок Комуністичний)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Весняний </w:t>
            </w: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(колишній провулок 10 років Жовтню)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Глухий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Загородній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Запорізький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Європейський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Комсомольський)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вана Мирошниченка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Кірова)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Короленка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Криничний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Кришталевий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Лермонтова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Мінський 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Московський 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Одеський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Павлова</w:t>
            </w:r>
          </w:p>
        </w:tc>
        <w:tc>
          <w:tcPr>
            <w:tcW w:w="2637" w:type="dxa"/>
          </w:tcPr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провулок Партизанський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Пархоменка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Піщаний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Пирогова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Полтавський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Родниковий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Свободи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Селянський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Сумський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Тукумський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(колишній провулок Комунарів)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Філатова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Фруктовий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Степана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Халтуріна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Цусимський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Чумацький (колишній провулок Калініна)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Шекспіра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провулок Шмідта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Аляб’єва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Довженка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Європейський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Комсомольський)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Лермонтова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Павлова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Сільськогосподарський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в’їзд Степовий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в’їзд Технічний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Дорожний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Європейський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Комсомольський)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Івана Мирошниченка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Кірова)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Лермонтова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Свободи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Сільськогосподарський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Степана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Халтуріна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/>
              </w:rPr>
              <w:t>проїзд Шекспіра</w:t>
            </w:r>
          </w:p>
          <w:p w:rsidR="00B10D94" w:rsidRPr="00FD62B3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15E5D" w:rsidRDefault="00E15E5D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E15E5D" w:rsidP="00E1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№9 Ізюмської міської ради Харківської області з обліку дітей дошкільного віку</w:t>
      </w:r>
    </w:p>
    <w:tbl>
      <w:tblPr>
        <w:tblW w:w="8931" w:type="dxa"/>
        <w:tblInd w:w="675" w:type="dxa"/>
        <w:tblLook w:val="01E0" w:firstRow="1" w:lastRow="1" w:firstColumn="1" w:lastColumn="1" w:noHBand="0" w:noVBand="0"/>
      </w:tblPr>
      <w:tblGrid>
        <w:gridCol w:w="4785"/>
        <w:gridCol w:w="4146"/>
      </w:tblGrid>
      <w:tr w:rsidR="00B10D94" w:rsidRPr="00A13D91" w:rsidTr="00252007">
        <w:tc>
          <w:tcPr>
            <w:tcW w:w="4785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Архангельська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Верхньо-Наддонецька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Гастелло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Гоголя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Григорія Ярового (колишня вулиця Руднєва)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Громадська (колишня вулиця Урицького)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Дементьєва (колишня 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Котовського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Донця-Захаржевського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вулиця Кравцова) (непарний ряд)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Дубовий Гай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Залікарняна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Крем’янецький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Лісна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Набережна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Нагорна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Наддонецька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Народна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Олени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вулиця Ярославського)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Паромна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Переяславська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Петруковича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Покровська (колишня вул. Фрунзе) (від поліклініки до вул. Гагаріна, парний ряд)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Пушкінська парний ряд до б.№22, непарний ряд до б.№47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Рафаеля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Рибинська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6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Соборна (від площі Центральна до вулиці Гагаріна)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Старопоштова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Чехова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Чайковського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Джона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Леннона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площа Радянська)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Центральна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Георгіївський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Демєнтьєва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(колишній 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Котовського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Залікарняний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Західний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Іртиський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Набережний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Народний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Переяславський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Полуничний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Руднєва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Соборний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Співаківський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(колишній 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Червоношахтарський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Старопоштовий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Чайковського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Чехова 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Ярославський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Верхньо-Крем’янецький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Галерейний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Дубовий Гай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Іртиський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Наддонецький</w:t>
            </w:r>
            <w:proofErr w:type="spellEnd"/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Набережний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Народний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Олени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(колишній в’їзд Ярославський)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Верхньо-Крем’янецький</w:t>
            </w:r>
            <w:proofErr w:type="spellEnd"/>
          </w:p>
        </w:tc>
      </w:tr>
    </w:tbl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№10 Ізюмської міської ради Харківської області з обліку дітей дошкільного віку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B10D94" w:rsidRPr="00FD62B3" w:rsidSect="00E90DAA">
          <w:type w:val="continuous"/>
          <w:pgSz w:w="11906" w:h="16838"/>
          <w:pgMar w:top="567" w:right="1134" w:bottom="709" w:left="1701" w:header="720" w:footer="720" w:gutter="0"/>
          <w:cols w:space="720"/>
        </w:sectPr>
      </w:pPr>
    </w:p>
    <w:tbl>
      <w:tblPr>
        <w:tblW w:w="3067" w:type="dxa"/>
        <w:tblInd w:w="534" w:type="dxa"/>
        <w:tblLook w:val="01E0" w:firstRow="1" w:lastRow="1" w:firstColumn="1" w:lastColumn="1" w:noHBand="0" w:noVBand="0"/>
      </w:tblPr>
      <w:tblGrid>
        <w:gridCol w:w="2410"/>
        <w:gridCol w:w="337"/>
        <w:gridCol w:w="320"/>
      </w:tblGrid>
      <w:tr w:rsidR="00B10D94" w:rsidRPr="00A13D91" w:rsidTr="00E15E5D">
        <w:tc>
          <w:tcPr>
            <w:tcW w:w="2410" w:type="dxa"/>
          </w:tcPr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Івана Богуна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Бородіна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Бекетова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Будівельна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Весняна з №45 (колишня вулиця 10 років Жовтню) 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Вільхова 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Волошкова (колишня вулиця Павлика Морозова)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Герцена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Льоні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Голікова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Івана Гонти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Гончарна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Данилевського (колишня вулиця Орджонікідзе)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Достоєвського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Економічна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Електриків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Ентузіастів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Єсеніна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Залісна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Із’яславська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Клубнична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Коперника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Зої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Космодем’янської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Кохановської </w:t>
            </w: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(колишня 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Тухачевського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Кропивницького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Людмили Александрової (колишня вулиця Куйбишева)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Макаренка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Марії Заньковецької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Нафтовиків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Новаторська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Оболонна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Осикова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Панфілова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Паркова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Патріотів </w:t>
            </w:r>
          </w:p>
          <w:p w:rsidR="00B10D94" w:rsidRPr="00A13D91" w:rsidRDefault="00B10D94" w:rsidP="00E15E5D">
            <w:pPr>
              <w:tabs>
                <w:tab w:val="left" w:pos="0"/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Перемоги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Підлісна (новобудови)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Плужника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Гостинна (колишня вулиця Правди)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Пржевальського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Рєпіна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Рокосовського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Сагайдачного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23 Серпня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вулиця 24 Серпня (колишня вулиця Червонопрапорна)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Соснова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Софійська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Тарасівська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Лесі Українки 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Червоногірська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№61 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Шмідта з №46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Гончарівська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(колишня площа Орджонікідзе)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Кругла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Підлісна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23 Серпня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Алмазний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Бірюзовий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Богачевського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Будівельний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Льоні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Голікова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Городнянського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Данилевського (колишній провулок Орджонікідзе)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провулок Економічний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Електриків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Івана Богуна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Іванівський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Казанський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Карамзіна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Людмили Александрової (колишній провулок Куйбишева)</w:t>
            </w:r>
          </w:p>
          <w:p w:rsidR="00B10D94" w:rsidRPr="00A13D91" w:rsidRDefault="00B10D94" w:rsidP="00E15E5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Макаренка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Новаторський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Оболонний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Панфілова</w:t>
            </w:r>
          </w:p>
          <w:p w:rsidR="00B10D94" w:rsidRPr="00A13D91" w:rsidRDefault="00B10D94" w:rsidP="00E15E5D">
            <w:pPr>
              <w:tabs>
                <w:tab w:val="left" w:pos="0"/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Перемоги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Підлісний 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Пішохідний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Гостинний (колишній провулок Правди)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Пржевальського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Науковий (колишній провулок Марини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Раскової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Рєпіна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Смольний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Сосновий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Уфимський</w:t>
            </w:r>
          </w:p>
          <w:p w:rsidR="00B10D94" w:rsidRPr="00A13D91" w:rsidRDefault="00B10D94" w:rsidP="00E15E5D">
            <w:pPr>
              <w:tabs>
                <w:tab w:val="left" w:pos="0"/>
                <w:tab w:val="left" w:pos="284"/>
              </w:tabs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в’їзд Весняний (колишній в’їзд 10 років Жовтню)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Герцена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Городнянського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Дорожників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Данила Нечая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Достоєвського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Ізюмський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Коцюбинського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Макаренка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Оболонний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Патріотів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Перемоги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Підлісний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Челюскіна</w:t>
            </w:r>
            <w:proofErr w:type="spellEnd"/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Весняний (колишній проїзд 10 років Жовтню)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Городній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Кропивницького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Перемоги</w:t>
            </w:r>
          </w:p>
          <w:p w:rsidR="00B10D94" w:rsidRPr="00A13D91" w:rsidRDefault="00B10D94" w:rsidP="00E15E5D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Гостинний (колишній проїзд Правди)</w:t>
            </w:r>
          </w:p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0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10D94" w:rsidRPr="00FD62B3" w:rsidRDefault="00B10D94" w:rsidP="00E15E5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  <w:sectPr w:rsidR="00B10D94" w:rsidRPr="00FD62B3">
          <w:type w:val="continuous"/>
          <w:pgSz w:w="11906" w:h="16838"/>
          <w:pgMar w:top="567" w:right="1134" w:bottom="709" w:left="1134" w:header="720" w:footer="720" w:gutter="0"/>
          <w:cols w:num="3" w:space="720"/>
        </w:sect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№12 Ізюмської міської ради Харківської області з обліку дітей дошкільного віку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B10D94" w:rsidRPr="00FD62B3" w:rsidSect="00E90DAA">
          <w:type w:val="continuous"/>
          <w:pgSz w:w="11906" w:h="16838"/>
          <w:pgMar w:top="567" w:right="1134" w:bottom="709" w:left="1701" w:header="720" w:footer="720" w:gutter="0"/>
          <w:cols w:space="720"/>
        </w:sect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3969" w:type="dxa"/>
        <w:tblInd w:w="534" w:type="dxa"/>
        <w:tblLook w:val="00A0" w:firstRow="1" w:lastRow="0" w:firstColumn="1" w:lastColumn="0" w:noHBand="0" w:noVBand="0"/>
      </w:tblPr>
      <w:tblGrid>
        <w:gridCol w:w="3969"/>
      </w:tblGrid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Айвазовського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Віктора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Цоя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Артема)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Володимира Мономаха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Щорса)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Героїв – Чорнобильців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Скрипника)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Грабовського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Карла Лібкнехта)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Донця -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Захаржевського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(колишня вулиця Кравцова) (парний бік) 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Закузнечна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Замостянська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Зарічна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(колишня 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Воровського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Кленова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Красноярська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Лубченка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(колишня вулиця Ленінградська)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Молодшого сержанта Сергія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Гончаренка</w:t>
            </w:r>
            <w:proofErr w:type="spellEnd"/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Наддонецька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Надозерна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Першотравнева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Південна 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Покровська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(колишня вулиця Фрунзе) (до поліклініки) 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Річкова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вулиця Соборна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(до площі Центральна)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вулиця Харківська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вулиця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Хлібозаводська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Айвазовського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Береговий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Березовий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Володимира Мономаха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(колишній провулок Щорса)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Воровського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Вузький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Грабовського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Дачний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Закузнечний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Заливний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Зарічний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Карла Лібкнехта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Кленовий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Ковальова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Комунальний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Кучерявий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Лубченка</w:t>
            </w:r>
            <w:proofErr w:type="spellEnd"/>
            <w:r w:rsidRPr="00FD6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(колишній провулок Ленінградський)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 xml:space="preserve">провулок </w:t>
            </w:r>
            <w:proofErr w:type="spellStart"/>
            <w:r w:rsidRPr="00FD62B3">
              <w:rPr>
                <w:rFonts w:ascii="Times New Roman" w:hAnsi="Times New Roman"/>
                <w:sz w:val="24"/>
                <w:szCs w:val="24"/>
              </w:rPr>
              <w:t>Надозерний</w:t>
            </w:r>
            <w:proofErr w:type="spellEnd"/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Першотравневий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Південний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провулок Харківський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в'їзд Першотравневий</w:t>
            </w:r>
          </w:p>
        </w:tc>
      </w:tr>
      <w:tr w:rsidR="00B10D94" w:rsidRPr="00A13D91" w:rsidTr="00E90DAA">
        <w:tc>
          <w:tcPr>
            <w:tcW w:w="3969" w:type="dxa"/>
          </w:tcPr>
          <w:p w:rsidR="00B10D94" w:rsidRPr="00FD62B3" w:rsidRDefault="00B10D94" w:rsidP="00E15E5D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62B3">
              <w:rPr>
                <w:rFonts w:ascii="Times New Roman" w:hAnsi="Times New Roman"/>
                <w:sz w:val="24"/>
                <w:szCs w:val="24"/>
              </w:rPr>
              <w:t>в'їзд Турбіна</w:t>
            </w:r>
          </w:p>
        </w:tc>
      </w:tr>
    </w:tbl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B10D94" w:rsidRPr="00FD62B3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90DAA" w:rsidRDefault="00E90DAA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90DAA" w:rsidRDefault="00E90DAA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90DAA" w:rsidRPr="00FD62B3" w:rsidRDefault="00E90DAA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 Ізюмського дошкільного навчального закладу (ясла-садок) №13 компенсуючого типу (санаторний) Ізюмської міської ради Харківської області з обліку дітей дошкільного віку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B10D94" w:rsidRPr="00FD62B3" w:rsidSect="00E90DAA">
          <w:type w:val="continuous"/>
          <w:pgSz w:w="11906" w:h="16838"/>
          <w:pgMar w:top="567" w:right="1134" w:bottom="709" w:left="1701" w:header="720" w:footer="720" w:gutter="0"/>
          <w:cols w:space="720"/>
        </w:sectPr>
      </w:pP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вулиця 8 Березня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Волонтерська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(колишня 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Плеханівська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Гагаріна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Кам’янська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Курортна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вул. Малиновського 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Муравська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Пушкінська </w:t>
      </w:r>
      <w:r w:rsidR="006763ED">
        <w:rPr>
          <w:rFonts w:ascii="Times New Roman" w:hAnsi="Times New Roman"/>
          <w:sz w:val="24"/>
          <w:szCs w:val="24"/>
          <w:lang w:val="uk-UA"/>
        </w:rPr>
        <w:t>(парний ряд – з № 22, непарний ряд – з № 47)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П’ятницького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Сєрова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Танкодромна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1-й Волонтерський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провулок 1-й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2-й Волонтерський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провулок 2-й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3-й Волонтерський 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(колишній провулок 3-й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Донський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Дунайський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Кам’янський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Ключовий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Курортний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Курський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Муравський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Нагайський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Подвірський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пров. Середній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Байкальський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8 Березня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Плеханівський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Донський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Дунайський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Іркутський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Ключовий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Курортний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Лиманський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Муравський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Садовий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Середній</w:t>
      </w:r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Цвіточний</w:t>
      </w:r>
      <w:proofErr w:type="spellEnd"/>
    </w:p>
    <w:p w:rsidR="00B10D94" w:rsidRPr="00FD62B3" w:rsidRDefault="00B10D94" w:rsidP="00E15E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площа Садова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B10D94" w:rsidRPr="00FD62B3" w:rsidSect="00E90DAA">
          <w:type w:val="continuous"/>
          <w:pgSz w:w="11906" w:h="16838"/>
          <w:pgMar w:top="567" w:right="1134" w:bottom="709" w:left="1701" w:header="720" w:footer="720" w:gutter="0"/>
          <w:cols w:num="2" w:space="720"/>
        </w:sectPr>
      </w:pPr>
    </w:p>
    <w:p w:rsidR="00B10D94" w:rsidRPr="00FD62B3" w:rsidRDefault="00B10D94" w:rsidP="00E15E5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E90DAA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</w:t>
      </w:r>
    </w:p>
    <w:p w:rsidR="00B10D94" w:rsidRPr="00E90DAA" w:rsidRDefault="00B10D94" w:rsidP="00E90D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Ізюмського дошкільного навчального закладу (ясла-садок) №14 комбінованого типу Ізюмської міської ради Харківської області </w:t>
      </w:r>
      <w:r w:rsidR="00E90DAA">
        <w:rPr>
          <w:rFonts w:ascii="Times New Roman" w:hAnsi="Times New Roman"/>
          <w:sz w:val="24"/>
          <w:szCs w:val="24"/>
          <w:lang w:val="uk-UA"/>
        </w:rPr>
        <w:t>з обліку дітей дошкільного віку</w:t>
      </w:r>
    </w:p>
    <w:p w:rsidR="00B10D94" w:rsidRPr="00FD62B3" w:rsidRDefault="00B10D94" w:rsidP="00E15E5D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B10D94" w:rsidRPr="00FD62B3" w:rsidSect="00E90DAA">
          <w:type w:val="continuous"/>
          <w:pgSz w:w="11906" w:h="16838"/>
          <w:pgMar w:top="567" w:right="1134" w:bottom="709" w:left="1560" w:header="720" w:footer="720" w:gutter="0"/>
          <w:cols w:space="720"/>
        </w:sectPr>
      </w:pPr>
    </w:p>
    <w:tbl>
      <w:tblPr>
        <w:tblW w:w="6530" w:type="dxa"/>
        <w:tblInd w:w="675" w:type="dxa"/>
        <w:tblLook w:val="01E0" w:firstRow="1" w:lastRow="1" w:firstColumn="1" w:lastColumn="1" w:noHBand="0" w:noVBand="0"/>
      </w:tblPr>
      <w:tblGrid>
        <w:gridCol w:w="4361"/>
        <w:gridCol w:w="2169"/>
      </w:tblGrid>
      <w:tr w:rsidR="00B10D94" w:rsidRPr="00A13D91" w:rsidTr="00E90DAA">
        <w:tc>
          <w:tcPr>
            <w:tcW w:w="4361" w:type="dxa"/>
          </w:tcPr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вулиця Героїв Небесної сотні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40 років Жовтню)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Волоха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Маршала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Говорова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Декабристів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Добролюбова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Монастирського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Енгельса)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Ескадронна (новобудови)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Київська (приватний сектор)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Лінійна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Локомотивна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Ломоносова з №132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Миру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Мілова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Некрасова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(приватний сектор)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Новопроложена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Педагогічна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Самборського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Рози Люксембург)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Сухий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Ізюмець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Трофімова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Толбухіна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Тургенєва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вулиця Ударна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Дружби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(колишня 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Ульянівська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Генерала Недбайла до №153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(колишня вулиця Чапаєва)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Булгакова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(колишня вулиця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Францева</w:t>
            </w:r>
            <w:proofErr w:type="spellEnd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Героїв Небесної сотні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(40 років Жовтню)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пров.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Бригадирівський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Монастирського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(Енгельса)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Інженерний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(приватний сектор)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Кутузова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Маршала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Говорова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Миру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Некрасова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Олександра Островського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Островського)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Підгірний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Піонерський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Революції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Сквозний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Сухий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Ізюмець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Толбухіна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Торпедівський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Трофімова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провулок Трудовий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Тургенєва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Хлібопродуктів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провулок Генерала Недбайла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провулок Чапаєва)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Абрикосовий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Вербовий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Волоха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Декабристів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Зелений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Зенітівський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Ковпака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Лізи Чайкіної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Миру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Некрасова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в’їзд Педагогічний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Східний (приватний сектор)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Торпедівський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Героїв Небесної сотні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Тургенєва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Генерала Недбайла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Чапаєва)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</w:t>
            </w:r>
            <w:proofErr w:type="spellStart"/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Ювілейний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Динамівський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в’їзд Монастирського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в’їзд Енгельса)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в’їзд Дорошенка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площа Революції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Монастирського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Енгельса)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проїзд Київський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проїзд Генерала Недбайла 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3D91">
              <w:rPr>
                <w:rFonts w:ascii="Times New Roman" w:hAnsi="Times New Roman"/>
                <w:sz w:val="24"/>
                <w:szCs w:val="24"/>
                <w:lang w:val="uk-UA"/>
              </w:rPr>
              <w:t>(колишній проїзд Чапаєва)</w:t>
            </w:r>
          </w:p>
          <w:p w:rsidR="00B10D94" w:rsidRPr="00A13D91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69" w:type="dxa"/>
          </w:tcPr>
          <w:p w:rsidR="00B10D94" w:rsidRPr="00A13D91" w:rsidRDefault="00B10D94" w:rsidP="00E15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0D94" w:rsidRPr="00FD62B3" w:rsidRDefault="00B10D94" w:rsidP="00E15E5D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  <w:sectPr w:rsidR="00B10D94" w:rsidRPr="00FD62B3">
          <w:type w:val="continuous"/>
          <w:pgSz w:w="11906" w:h="16838"/>
          <w:pgMar w:top="567" w:right="1134" w:bottom="709" w:left="1134" w:header="720" w:footer="720" w:gutter="0"/>
          <w:cols w:num="2" w:space="720"/>
        </w:sect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№16 Ізюмської міської ради Харківської області з обліку дітей дошкільного віку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641"/>
      </w:tblGrid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вулиця Григорія Жуковського (колишня вулиця </w:t>
            </w:r>
            <w:proofErr w:type="spellStart"/>
            <w:r w:rsidRPr="00FD62B3">
              <w:rPr>
                <w:szCs w:val="24"/>
              </w:rPr>
              <w:t>Тельмана</w:t>
            </w:r>
            <w:proofErr w:type="spellEnd"/>
            <w:r w:rsidRPr="00FD62B3">
              <w:rPr>
                <w:szCs w:val="24"/>
              </w:rPr>
              <w:t>)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Капітана Орлова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Крута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вулиця Різдвяна (колишня вулиця Маршала Жукова)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вулиця Телевізійна 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проспект Незалежності (колишній проспект Леніна) (парний бік)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провулок Григорія Жуковського (колишній провулок </w:t>
            </w:r>
            <w:proofErr w:type="spellStart"/>
            <w:r w:rsidRPr="00FD62B3">
              <w:rPr>
                <w:szCs w:val="24"/>
              </w:rPr>
              <w:t>Тельмана</w:t>
            </w:r>
            <w:proofErr w:type="spellEnd"/>
            <w:r w:rsidRPr="00FD62B3">
              <w:rPr>
                <w:szCs w:val="24"/>
              </w:rPr>
              <w:t>)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провулок </w:t>
            </w:r>
            <w:proofErr w:type="spellStart"/>
            <w:r w:rsidRPr="00FD62B3">
              <w:rPr>
                <w:szCs w:val="24"/>
              </w:rPr>
              <w:t>Кирпичний</w:t>
            </w:r>
            <w:proofErr w:type="spellEnd"/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Миколи Львова (колишній провулок Соціалістичний)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Тихий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Толстого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провулок </w:t>
            </w:r>
            <w:proofErr w:type="spellStart"/>
            <w:r w:rsidRPr="00FD62B3">
              <w:rPr>
                <w:szCs w:val="24"/>
              </w:rPr>
              <w:t>Ушакова</w:t>
            </w:r>
            <w:proofErr w:type="spellEnd"/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провулок Фізкультурний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 xml:space="preserve">в'їзд </w:t>
            </w:r>
            <w:proofErr w:type="spellStart"/>
            <w:r w:rsidRPr="00FD62B3">
              <w:rPr>
                <w:szCs w:val="24"/>
              </w:rPr>
              <w:t>Кирпичний</w:t>
            </w:r>
            <w:proofErr w:type="spellEnd"/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Миколи Львова (колишній в'їзд Соціалістичний)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Пляжний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в'їзд Фізкультурний</w:t>
            </w:r>
          </w:p>
        </w:tc>
      </w:tr>
      <w:tr w:rsidR="00E90DAA" w:rsidRPr="00A13D91" w:rsidTr="009256CA">
        <w:tc>
          <w:tcPr>
            <w:tcW w:w="8641" w:type="dxa"/>
          </w:tcPr>
          <w:p w:rsidR="00E90DAA" w:rsidRPr="00FD62B3" w:rsidRDefault="00E90DAA" w:rsidP="00E15E5D">
            <w:pPr>
              <w:pStyle w:val="a3"/>
              <w:spacing w:line="360" w:lineRule="auto"/>
              <w:jc w:val="left"/>
              <w:rPr>
                <w:szCs w:val="24"/>
              </w:rPr>
            </w:pPr>
            <w:r w:rsidRPr="00FD62B3">
              <w:rPr>
                <w:szCs w:val="24"/>
              </w:rPr>
              <w:t>проїзд Фізкультурний</w:t>
            </w:r>
          </w:p>
        </w:tc>
      </w:tr>
    </w:tbl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E90DAA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FD62B3">
        <w:rPr>
          <w:rFonts w:ascii="Times New Roman" w:hAnsi="Times New Roman"/>
          <w:sz w:val="24"/>
          <w:szCs w:val="24"/>
          <w:lang w:val="uk-UA"/>
        </w:rPr>
        <w:lastRenderedPageBreak/>
        <w:t>Територія обслуговування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Ізюмського дошкільного навчального закладу (ясла-садок) №17 Ізюмської міської ради Харківської області з обліку дітей дошкільного віку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5 Лютого (колишня вулиця Карла Маркса)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Аеродромна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Богдана Хмельницького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Борівська (новобудови)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Вавілова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Ватутіна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Висока</w:t>
      </w:r>
    </w:p>
    <w:p w:rsidR="00B10D94" w:rsidRPr="00FD62B3" w:rsidRDefault="0011534E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вулиця Володимира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Без</w:t>
      </w:r>
      <w:r w:rsidR="00B10D94" w:rsidRPr="00FD62B3">
        <w:rPr>
          <w:rFonts w:ascii="Times New Roman" w:hAnsi="Times New Roman"/>
          <w:sz w:val="24"/>
          <w:szCs w:val="24"/>
          <w:lang w:val="uk-UA"/>
        </w:rPr>
        <w:t>корсого</w:t>
      </w:r>
      <w:proofErr w:type="spellEnd"/>
      <w:r w:rsidR="00B10D94" w:rsidRPr="00FD62B3">
        <w:rPr>
          <w:rFonts w:ascii="Times New Roman" w:hAnsi="Times New Roman"/>
          <w:sz w:val="24"/>
          <w:szCs w:val="24"/>
          <w:lang w:val="uk-UA"/>
        </w:rPr>
        <w:t xml:space="preserve"> (колишня вулиця Петровського)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Володимира Великого (колишня вулиця Олега Кошового) 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Володимира Висоцького (колишня 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Сакко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Ванцетті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Громова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Грушевського (новобудови)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Заводська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Заслонова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Камчатська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Козацька (колишня вулиця Ілліча)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Космонавтів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Коцюбинського 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Куп’янська (новобудови)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Медова (колишня вулиця Червоноармійська)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Миротворців (колишня 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Крупської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Молодіжна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Маршала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Федоренка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Оптична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Оскільська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Підлужна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Полуботка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Привокзальна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Пролетарська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Профспілкова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Пугачова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Слобідська (колишня вулиця Дзержинського) 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>вулиця Сонячна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Чернігівська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вулиця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Черняховського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вулиця Шевченка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Слобідський (колишній пров. Дзержинського) 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Заводський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Заслонова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Козацький (новобудови)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площа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Заслонова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площа Привокзальна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Брянський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Ватутіна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Громова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Космонавтів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Крупської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Маршала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Федоренка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Молодіжний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провулок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Овражний</w:t>
      </w:r>
      <w:proofErr w:type="spellEnd"/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Оптичний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Садовий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Сонячний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Український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Франка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провулок Шевченка</w:t>
      </w:r>
    </w:p>
    <w:p w:rsidR="00B10D94" w:rsidRPr="00FD62B3" w:rsidRDefault="0011534E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в’їзд Володимира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Без</w:t>
      </w:r>
      <w:r w:rsidR="00B10D94" w:rsidRPr="00FD62B3">
        <w:rPr>
          <w:rFonts w:ascii="Times New Roman" w:hAnsi="Times New Roman"/>
          <w:sz w:val="24"/>
          <w:szCs w:val="24"/>
          <w:lang w:val="uk-UA"/>
        </w:rPr>
        <w:t>корсого</w:t>
      </w:r>
      <w:proofErr w:type="spellEnd"/>
      <w:r w:rsidR="00B10D94" w:rsidRPr="00FD62B3">
        <w:rPr>
          <w:rFonts w:ascii="Times New Roman" w:hAnsi="Times New Roman"/>
          <w:sz w:val="24"/>
          <w:szCs w:val="24"/>
          <w:lang w:val="uk-UA"/>
        </w:rPr>
        <w:t xml:space="preserve"> (колишній в’їзд Петровського)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Громова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в’їзд Дружби (колишній в’їзд </w:t>
      </w:r>
      <w:proofErr w:type="spellStart"/>
      <w:r w:rsidRPr="00FD62B3">
        <w:rPr>
          <w:rFonts w:ascii="Times New Roman" w:hAnsi="Times New Roman"/>
          <w:sz w:val="24"/>
          <w:szCs w:val="24"/>
          <w:lang w:val="uk-UA"/>
        </w:rPr>
        <w:t>Ульянівський</w:t>
      </w:r>
      <w:proofErr w:type="spellEnd"/>
      <w:r w:rsidRPr="00FD62B3">
        <w:rPr>
          <w:rFonts w:ascii="Times New Roman" w:hAnsi="Times New Roman"/>
          <w:sz w:val="24"/>
          <w:szCs w:val="24"/>
          <w:lang w:val="uk-UA"/>
        </w:rPr>
        <w:t>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Коцюбинського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Малиновий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Медовий (колишній в’їзд Червоноармійський)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Рябиновий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Український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Шевченка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в’їзд Ювілейний</w:t>
      </w:r>
    </w:p>
    <w:p w:rsidR="00B10D94" w:rsidRPr="00FD62B3" w:rsidRDefault="00B10D94" w:rsidP="00E15E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проїзд Шевченка</w:t>
      </w:r>
    </w:p>
    <w:p w:rsidR="00B10D94" w:rsidRPr="00FD62B3" w:rsidRDefault="00B10D94" w:rsidP="00E90DA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B10D94" w:rsidRDefault="00B10D94" w:rsidP="00E90DA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</w:t>
      </w:r>
      <w:r w:rsidR="0011534E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B10D94" w:rsidRPr="00FD62B3" w:rsidRDefault="00B10D94" w:rsidP="00E90DA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  <w:r w:rsidR="0011534E">
        <w:rPr>
          <w:rFonts w:ascii="Times New Roman" w:hAnsi="Times New Roman"/>
          <w:sz w:val="24"/>
          <w:szCs w:val="24"/>
          <w:lang w:val="uk-UA"/>
        </w:rPr>
        <w:t xml:space="preserve"> Харківської області</w:t>
      </w:r>
    </w:p>
    <w:p w:rsidR="00B10D94" w:rsidRPr="00FD62B3" w:rsidRDefault="00B10D94" w:rsidP="00E90DAA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E90DAA">
        <w:rPr>
          <w:rFonts w:ascii="Times New Roman" w:hAnsi="Times New Roman"/>
          <w:sz w:val="24"/>
          <w:szCs w:val="24"/>
          <w:lang w:val="uk-UA"/>
        </w:rPr>
        <w:t>.05.2017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11534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</w:p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План заходів щодо організації обліку дітей дошкільного віку, які проживають на території_______________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9"/>
        <w:gridCol w:w="4506"/>
        <w:gridCol w:w="1911"/>
        <w:gridCol w:w="2482"/>
      </w:tblGrid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Направити відповідні листи до житлово-експлуатаційних контор,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ІЦМЛ,</w:t>
            </w:r>
            <w:r w:rsidR="0011534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квартальним комітетам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 надання переліку сімей з дітьми дошкільного вік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у, які проживають на території 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(якщо є потреба)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робочу групу з обліку дітей дошкільного віку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.201</w:t>
            </w:r>
            <w:r w:rsidR="001153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Провести консультацію для членів робочої групи «Дотримання толерантності під час спілкування з батьками».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15.0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.201</w:t>
            </w:r>
            <w:r w:rsidR="001153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 /вихователь-методист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 час проведення батьківських зборів та Днів відкритих дверей інформувати батьків про наявність різних форм здобуття дошкільної освіти дітьми дошкільного віку.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закладу, вихователі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Здійснити соціально-педагогічний патронат над дітьми дошкільного віку, які виховуються вдома, та надати консультативну, методичну допомогу батькам.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Члени робочої групи, вихователі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Залучати батьків, які виховують дітей дошкільного віку вдома, до заходів, що проводяться в дошкільному навчальному закладі.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навчального закладу, вихователь-методист, вихователі</w:t>
            </w:r>
          </w:p>
        </w:tc>
      </w:tr>
      <w:tr w:rsidR="00B10D94" w:rsidRPr="00A13D91" w:rsidTr="006E444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та забезпечити дієву роботу консультативного центру для батьків або осіб, які їх замінюють, і дітей, які виховуються в умовах сім’ї.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окремим планом)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90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Вихователь-методист, вихователі</w:t>
            </w:r>
          </w:p>
        </w:tc>
      </w:tr>
    </w:tbl>
    <w:p w:rsidR="00B10D94" w:rsidRDefault="00B10D94" w:rsidP="00E15E5D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C415B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Харківської області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C415B8">
        <w:rPr>
          <w:rFonts w:ascii="Times New Roman" w:hAnsi="Times New Roman"/>
          <w:sz w:val="24"/>
          <w:szCs w:val="24"/>
          <w:lang w:val="uk-UA"/>
        </w:rPr>
        <w:t>.05</w:t>
      </w:r>
      <w:r w:rsidRPr="00FD62B3">
        <w:rPr>
          <w:rFonts w:ascii="Times New Roman" w:hAnsi="Times New Roman"/>
          <w:sz w:val="24"/>
          <w:szCs w:val="24"/>
          <w:lang w:val="uk-UA"/>
        </w:rPr>
        <w:t>.201</w:t>
      </w:r>
      <w:r w:rsidR="00392D8B">
        <w:rPr>
          <w:rFonts w:ascii="Times New Roman" w:hAnsi="Times New Roman"/>
          <w:sz w:val="24"/>
          <w:szCs w:val="24"/>
          <w:lang w:val="uk-UA"/>
        </w:rPr>
        <w:t>7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 р.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</w:p>
    <w:p w:rsidR="00B10D94" w:rsidRPr="00FD62B3" w:rsidRDefault="00B10D94" w:rsidP="00C415B8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Місто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: __________________</w:t>
      </w:r>
    </w:p>
    <w:p w:rsidR="00B10D94" w:rsidRPr="00FD62B3" w:rsidRDefault="00B10D94" w:rsidP="00C41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Населений пункт: ________________</w:t>
      </w:r>
    </w:p>
    <w:p w:rsidR="00B10D94" w:rsidRPr="00FD62B3" w:rsidRDefault="00B10D94" w:rsidP="00C41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Навчальний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заклад: _________________________________________</w:t>
      </w:r>
      <w:r w:rsidR="00C415B8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</w:t>
      </w:r>
    </w:p>
    <w:p w:rsidR="00B10D94" w:rsidRDefault="00B10D94" w:rsidP="00C41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Територія обслуговування ДНЗ _______________________________________</w:t>
      </w:r>
      <w:r w:rsidR="00C415B8">
        <w:rPr>
          <w:rFonts w:ascii="Times New Roman" w:hAnsi="Times New Roman"/>
          <w:color w:val="000000"/>
          <w:sz w:val="24"/>
          <w:szCs w:val="24"/>
          <w:lang w:val="uk-UA" w:eastAsia="ru-RU"/>
        </w:rPr>
        <w:t>___</w:t>
      </w:r>
    </w:p>
    <w:p w:rsidR="00C415B8" w:rsidRPr="00FD62B3" w:rsidRDefault="00C415B8" w:rsidP="00C41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10D94" w:rsidRPr="00FD62B3" w:rsidRDefault="00B10D94" w:rsidP="00C41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Списки дітей дошкільного віку, які проживають на території _____________________________</w:t>
      </w:r>
    </w:p>
    <w:p w:rsidR="00B10D94" w:rsidRPr="00FD62B3" w:rsidRDefault="00B10D94" w:rsidP="00C41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(20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="00392D8B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-201</w:t>
      </w:r>
      <w:r w:rsidR="00392D8B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роки народження)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4"/>
        <w:gridCol w:w="1103"/>
        <w:gridCol w:w="749"/>
        <w:gridCol w:w="1349"/>
        <w:gridCol w:w="1250"/>
        <w:gridCol w:w="1243"/>
        <w:gridCol w:w="2319"/>
        <w:gridCol w:w="1121"/>
      </w:tblGrid>
      <w:tr w:rsidR="00B10D94" w:rsidRPr="00A13D91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</w:t>
            </w:r>
          </w:p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дитини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міська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рада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 (дошкільний навчальний заклад / дошкільна група навчально-виховного комплексу, короткотривале перебування, групи при загальноосвітньому навчальному закладі, соціально-педагогічний патронат тощо)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10D94" w:rsidRPr="00A13D91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10D94" w:rsidRPr="00A13D91" w:rsidTr="0051072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0D94" w:rsidRPr="00FD62B3" w:rsidRDefault="00B10D94" w:rsidP="00C415B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u w:val="single"/>
          <w:lang w:val="uk-UA" w:eastAsia="ru-RU"/>
        </w:rPr>
        <w:t>Примітка:</w:t>
      </w:r>
      <w:r w:rsidR="0025200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списки дітей дошкільного віку повинні бути затверджені окремо за роками народження. До списків дітей дошкільного віку обов’язково внести дітей дошкільного віку, які проживають, але не прописані на даній території обслуговування.</w:t>
      </w:r>
    </w:p>
    <w:p w:rsidR="00B10D94" w:rsidRDefault="00B10D94" w:rsidP="00C415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Default="00B10D94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C415B8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B10D94">
        <w:rPr>
          <w:rFonts w:ascii="Times New Roman" w:hAnsi="Times New Roman"/>
          <w:sz w:val="24"/>
          <w:szCs w:val="24"/>
          <w:lang w:val="uk-UA"/>
        </w:rPr>
        <w:t>4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Харківської області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C415B8">
        <w:rPr>
          <w:rFonts w:ascii="Times New Roman" w:hAnsi="Times New Roman"/>
          <w:sz w:val="24"/>
          <w:szCs w:val="24"/>
          <w:lang w:val="uk-UA"/>
        </w:rPr>
        <w:t>.05</w:t>
      </w:r>
      <w:r w:rsidRPr="00FD62B3">
        <w:rPr>
          <w:rFonts w:ascii="Times New Roman" w:hAnsi="Times New Roman"/>
          <w:sz w:val="24"/>
          <w:szCs w:val="24"/>
          <w:lang w:val="uk-UA"/>
        </w:rPr>
        <w:t>.201</w:t>
      </w:r>
      <w:r w:rsidR="00392D8B">
        <w:rPr>
          <w:rFonts w:ascii="Times New Roman" w:hAnsi="Times New Roman"/>
          <w:sz w:val="24"/>
          <w:szCs w:val="24"/>
          <w:lang w:val="uk-UA"/>
        </w:rPr>
        <w:t>7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C415B8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</w:p>
    <w:p w:rsidR="00B10D94" w:rsidRPr="00FD62B3" w:rsidRDefault="00B10D94" w:rsidP="00E15E5D">
      <w:pPr>
        <w:pBdr>
          <w:bottom w:val="single" w:sz="12" w:space="0" w:color="000000"/>
        </w:pBd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Персоніфікований банк даних дітей дошкільного віку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8"/>
        <w:gridCol w:w="1215"/>
        <w:gridCol w:w="887"/>
        <w:gridCol w:w="1423"/>
        <w:gridCol w:w="1262"/>
        <w:gridCol w:w="1200"/>
        <w:gridCol w:w="1609"/>
        <w:gridCol w:w="1204"/>
      </w:tblGrid>
      <w:tr w:rsidR="00B10D94" w:rsidRPr="00A13D91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 дитини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(селищна) рада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10D94" w:rsidRPr="00A13D91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10D94" w:rsidRPr="00A13D91" w:rsidTr="00510727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135DB9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5D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392D8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  <w:r w:rsidRPr="00135D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рік народження</w:t>
            </w:r>
          </w:p>
        </w:tc>
      </w:tr>
      <w:tr w:rsidR="00B10D94" w:rsidRPr="00A13D91" w:rsidTr="00510727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0D94" w:rsidRPr="00FD62B3" w:rsidRDefault="00B10D94" w:rsidP="00E15E5D">
      <w:pPr>
        <w:shd w:val="clear" w:color="auto" w:fill="FFFFFF"/>
        <w:spacing w:line="360" w:lineRule="auto"/>
        <w:rPr>
          <w:rFonts w:ascii="Times New Roman" w:hAnsi="Times New Roman"/>
          <w:vanish/>
          <w:color w:val="000000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8"/>
        <w:gridCol w:w="1327"/>
        <w:gridCol w:w="946"/>
        <w:gridCol w:w="1435"/>
        <w:gridCol w:w="1287"/>
        <w:gridCol w:w="1231"/>
        <w:gridCol w:w="1609"/>
        <w:gridCol w:w="1235"/>
      </w:tblGrid>
      <w:tr w:rsidR="00B10D94" w:rsidRPr="00A13D91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 дитини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(селищна) рада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10D94" w:rsidRPr="00A13D91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10D94" w:rsidRPr="00A13D91" w:rsidTr="00510727">
        <w:tc>
          <w:tcPr>
            <w:tcW w:w="147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392D8B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2016</w:t>
            </w:r>
            <w:r w:rsidR="00B10D94"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 народження</w:t>
            </w:r>
          </w:p>
        </w:tc>
      </w:tr>
      <w:tr w:rsidR="00B10D94" w:rsidRPr="00A13D91" w:rsidTr="00510727"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0D94" w:rsidRPr="00537E42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Примітка:</w:t>
      </w:r>
      <w:r w:rsidRPr="00537E42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ПІБ дитини зазначати повністю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, стать: повністю «жіноча», розмір </w:t>
      </w:r>
      <w:r w:rsidR="00C415B8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шрифту</w:t>
      </w:r>
      <w:r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12</w:t>
      </w:r>
      <w:r w:rsidRPr="00537E42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1"/>
        <w:gridCol w:w="1295"/>
        <w:gridCol w:w="949"/>
        <w:gridCol w:w="1388"/>
        <w:gridCol w:w="1211"/>
        <w:gridCol w:w="1605"/>
        <w:gridCol w:w="1490"/>
        <w:gridCol w:w="1169"/>
      </w:tblGrid>
      <w:tr w:rsidR="00B10D94" w:rsidRPr="00A13D91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 І Б дитини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Сільська (селищна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міська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рада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10D94" w:rsidRPr="00A13D91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10D94" w:rsidRPr="00A13D91" w:rsidTr="004E156C">
        <w:tc>
          <w:tcPr>
            <w:tcW w:w="96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392D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рік народження (01.09-31.12)</w:t>
            </w:r>
          </w:p>
        </w:tc>
      </w:tr>
      <w:tr w:rsidR="00B10D94" w:rsidRPr="00A13D91" w:rsidTr="004E156C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Іваненко Марія Іванівна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жіноча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22.10.201</w:t>
            </w:r>
            <w:r w:rsidR="00392D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Ізюмська міська рада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</w:t>
            </w:r>
            <w:r w:rsidR="00C415B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Спортивна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ІДНЗ № 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Приклад</w:t>
            </w:r>
          </w:p>
        </w:tc>
      </w:tr>
    </w:tbl>
    <w:p w:rsidR="00C415B8" w:rsidRDefault="00C415B8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A17DE5" w:rsidRDefault="00A17DE5" w:rsidP="00E15E5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Харківської області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252007">
        <w:rPr>
          <w:rFonts w:ascii="Times New Roman" w:hAnsi="Times New Roman"/>
          <w:sz w:val="24"/>
          <w:szCs w:val="24"/>
          <w:lang w:val="uk-UA"/>
        </w:rPr>
        <w:t>.05</w:t>
      </w:r>
      <w:r w:rsidRPr="00FD62B3">
        <w:rPr>
          <w:rFonts w:ascii="Times New Roman" w:hAnsi="Times New Roman"/>
          <w:sz w:val="24"/>
          <w:szCs w:val="24"/>
          <w:lang w:val="uk-UA"/>
        </w:rPr>
        <w:t>.201</w:t>
      </w:r>
      <w:r w:rsidR="00392D8B">
        <w:rPr>
          <w:rFonts w:ascii="Times New Roman" w:hAnsi="Times New Roman"/>
          <w:sz w:val="24"/>
          <w:szCs w:val="24"/>
          <w:lang w:val="uk-UA"/>
        </w:rPr>
        <w:t>7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 р. </w:t>
      </w:r>
      <w:r w:rsidR="00252007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</w:p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Загальна кількість дитячого населення від 0 до 6 років</w:t>
      </w:r>
    </w:p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_____________________ станом на 30.09.201</w:t>
      </w:r>
      <w:r w:rsidR="0011534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50"/>
        <w:gridCol w:w="887"/>
        <w:gridCol w:w="749"/>
        <w:gridCol w:w="565"/>
        <w:gridCol w:w="1334"/>
        <w:gridCol w:w="1191"/>
        <w:gridCol w:w="674"/>
        <w:gridCol w:w="673"/>
        <w:gridCol w:w="1148"/>
        <w:gridCol w:w="402"/>
        <w:gridCol w:w="555"/>
      </w:tblGrid>
      <w:tr w:rsidR="00B10D94" w:rsidRPr="00A13D91" w:rsidTr="004E156C"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Роки народження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дітей</w:t>
            </w:r>
          </w:p>
        </w:tc>
        <w:tc>
          <w:tcPr>
            <w:tcW w:w="1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відвідують ДНЗ</w:t>
            </w:r>
          </w:p>
        </w:tc>
        <w:tc>
          <w:tcPr>
            <w:tcW w:w="1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% охоплення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 не відвідують ДНЗ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10D94" w:rsidRPr="00A13D91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село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село</w:t>
            </w:r>
          </w:p>
        </w:tc>
        <w:tc>
          <w:tcPr>
            <w:tcW w:w="414" w:type="dxa"/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11534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 01.09.)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1534E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34E" w:rsidRPr="00FD62B3" w:rsidRDefault="0011534E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0D94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10D94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Завідувач ДНЗ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ПІБ</w:t>
      </w:r>
    </w:p>
    <w:p w:rsidR="00B10D94" w:rsidRPr="00FD62B3" w:rsidRDefault="00C415B8" w:rsidP="00C415B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B10D94">
        <w:rPr>
          <w:rFonts w:ascii="Times New Roman" w:hAnsi="Times New Roman"/>
          <w:sz w:val="24"/>
          <w:szCs w:val="24"/>
          <w:lang w:val="uk-UA"/>
        </w:rPr>
        <w:t>6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Харківської області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C415B8">
        <w:rPr>
          <w:rFonts w:ascii="Times New Roman" w:hAnsi="Times New Roman"/>
          <w:sz w:val="24"/>
          <w:szCs w:val="24"/>
          <w:lang w:val="uk-UA"/>
        </w:rPr>
        <w:t>.05</w:t>
      </w:r>
      <w:r w:rsidRPr="00FD62B3">
        <w:rPr>
          <w:rFonts w:ascii="Times New Roman" w:hAnsi="Times New Roman"/>
          <w:sz w:val="24"/>
          <w:szCs w:val="24"/>
          <w:lang w:val="uk-UA"/>
        </w:rPr>
        <w:t>.201</w:t>
      </w:r>
      <w:r w:rsidR="00392D8B">
        <w:rPr>
          <w:rFonts w:ascii="Times New Roman" w:hAnsi="Times New Roman"/>
          <w:sz w:val="24"/>
          <w:szCs w:val="24"/>
          <w:lang w:val="uk-UA"/>
        </w:rPr>
        <w:t>7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 р.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</w:p>
    <w:p w:rsidR="00C415B8" w:rsidRPr="00FD62B3" w:rsidRDefault="00C415B8" w:rsidP="00C415B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C41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Форми здобуття дошкільної освіти</w:t>
      </w:r>
    </w:p>
    <w:p w:rsidR="00B10D94" w:rsidRPr="00FD62B3" w:rsidRDefault="00B10D94" w:rsidP="00C41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_____________________________________ станом на 30.09.201</w:t>
      </w:r>
      <w:r w:rsidR="0011534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83"/>
        <w:gridCol w:w="1144"/>
        <w:gridCol w:w="727"/>
        <w:gridCol w:w="1223"/>
        <w:gridCol w:w="951"/>
        <w:gridCol w:w="951"/>
        <w:gridCol w:w="1153"/>
        <w:gridCol w:w="1170"/>
        <w:gridCol w:w="826"/>
      </w:tblGrid>
      <w:tr w:rsidR="00B10D94" w:rsidRPr="00A13D91" w:rsidTr="004E156C">
        <w:tc>
          <w:tcPr>
            <w:tcW w:w="1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Охоплено дітей дошкільною освітою</w:t>
            </w:r>
          </w:p>
        </w:tc>
        <w:tc>
          <w:tcPr>
            <w:tcW w:w="63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тому числі</w:t>
            </w:r>
          </w:p>
        </w:tc>
      </w:tr>
      <w:tr w:rsidR="00B10D94" w:rsidRPr="00A13D91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Охоплено ДНЗ (НВК)</w:t>
            </w:r>
          </w:p>
        </w:tc>
        <w:tc>
          <w:tcPr>
            <w:tcW w:w="5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Охоплено різними формами</w:t>
            </w:r>
          </w:p>
        </w:tc>
      </w:tr>
      <w:tr w:rsidR="00B10D94" w:rsidRPr="00A13D91" w:rsidTr="004E15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при ЗОШ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Групи при ПНЗ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Соц.-пед. патронат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Приватні групи фізичних осіб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392D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 01.09.)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92D8B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D8B" w:rsidRPr="00FD62B3" w:rsidRDefault="00392D8B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D94" w:rsidRPr="00A13D91" w:rsidTr="004E156C"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C415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Завідувач ДНЗ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ПІБ</w:t>
      </w:r>
    </w:p>
    <w:p w:rsidR="00B10D94" w:rsidRPr="00FD62B3" w:rsidRDefault="00C415B8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="00B10D94" w:rsidRPr="00FD62B3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="00B10D94">
        <w:rPr>
          <w:rFonts w:ascii="Times New Roman" w:hAnsi="Times New Roman"/>
          <w:sz w:val="24"/>
          <w:szCs w:val="24"/>
          <w:lang w:val="uk-UA"/>
        </w:rPr>
        <w:t>7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 наказу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освіти </w:t>
      </w:r>
    </w:p>
    <w:p w:rsidR="0011534E" w:rsidRPr="00FD62B3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>Ізюмської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Харківської області</w:t>
      </w:r>
    </w:p>
    <w:p w:rsidR="0011534E" w:rsidRDefault="0011534E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  <w:r w:rsidRPr="00FD62B3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96CC7">
        <w:rPr>
          <w:rFonts w:ascii="Times New Roman" w:hAnsi="Times New Roman"/>
          <w:sz w:val="24"/>
          <w:szCs w:val="24"/>
          <w:lang w:val="uk-UA"/>
        </w:rPr>
        <w:t>31</w:t>
      </w:r>
      <w:r w:rsidR="00C415B8">
        <w:rPr>
          <w:rFonts w:ascii="Times New Roman" w:hAnsi="Times New Roman"/>
          <w:sz w:val="24"/>
          <w:szCs w:val="24"/>
          <w:lang w:val="uk-UA"/>
        </w:rPr>
        <w:t>.05</w:t>
      </w:r>
      <w:r w:rsidRPr="00FD62B3">
        <w:rPr>
          <w:rFonts w:ascii="Times New Roman" w:hAnsi="Times New Roman"/>
          <w:sz w:val="24"/>
          <w:szCs w:val="24"/>
          <w:lang w:val="uk-UA"/>
        </w:rPr>
        <w:t xml:space="preserve">.2016 р.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96CC7">
        <w:rPr>
          <w:rFonts w:ascii="Times New Roman" w:hAnsi="Times New Roman"/>
          <w:sz w:val="24"/>
          <w:szCs w:val="24"/>
          <w:lang w:val="uk-UA"/>
        </w:rPr>
        <w:t>300</w:t>
      </w:r>
      <w:bookmarkStart w:id="0" w:name="_GoBack"/>
      <w:bookmarkEnd w:id="0"/>
    </w:p>
    <w:p w:rsidR="00C415B8" w:rsidRPr="00FD62B3" w:rsidRDefault="00C415B8" w:rsidP="00C415B8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10D94" w:rsidRPr="00FD62B3" w:rsidRDefault="00B10D94" w:rsidP="00C41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Реєстр дітей старшого дошкільного віку</w:t>
      </w:r>
    </w:p>
    <w:p w:rsidR="00B10D94" w:rsidRPr="00FD62B3" w:rsidRDefault="00B10D94" w:rsidP="00C415B8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 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1"/>
        <w:gridCol w:w="1373"/>
        <w:gridCol w:w="1560"/>
        <w:gridCol w:w="1373"/>
        <w:gridCol w:w="1553"/>
        <w:gridCol w:w="1852"/>
        <w:gridCol w:w="1376"/>
      </w:tblGrid>
      <w:tr w:rsidR="00B10D94" w:rsidRPr="00A13D91" w:rsidTr="005107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 дитини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ПІБ батьків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Форма здобуття дошкільної освіти (дошкільний навчальний заклад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короткотривале перебування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соціально-педагогічний патронат тощо)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B10D94" w:rsidRPr="00A13D91" w:rsidTr="005107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0D94" w:rsidRPr="00FD62B3" w:rsidRDefault="00B10D94" w:rsidP="00E15E5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D62B3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</w:tbl>
    <w:p w:rsidR="0011534E" w:rsidRDefault="00B10D94" w:rsidP="00E15E5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Примітка: </w:t>
      </w:r>
    </w:p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до реєстру дітей старшого дошкільного віку заносяться дані про дітей, яким на 1 вересня 201</w:t>
      </w:r>
      <w:r w:rsidR="0011534E">
        <w:rPr>
          <w:rFonts w:ascii="Times New Roman" w:hAnsi="Times New Roman"/>
          <w:color w:val="000000"/>
          <w:sz w:val="24"/>
          <w:szCs w:val="24"/>
          <w:lang w:val="uk-UA" w:eastAsia="ru-RU"/>
        </w:rPr>
        <w:t>8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виповниться 6 років (01.09.-31.12.20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="0011534E">
        <w:rPr>
          <w:rFonts w:ascii="Times New Roman" w:hAnsi="Times New Roman"/>
          <w:color w:val="000000"/>
          <w:sz w:val="24"/>
          <w:szCs w:val="24"/>
          <w:lang w:val="uk-UA" w:eastAsia="ru-RU"/>
        </w:rPr>
        <w:t>1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01.01.-31.08.201</w:t>
      </w:r>
      <w:r w:rsidR="0011534E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 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року народження).</w:t>
      </w:r>
    </w:p>
    <w:p w:rsidR="00B10D94" w:rsidRPr="00FD62B3" w:rsidRDefault="00B10D94" w:rsidP="00E15E5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Завідувач ДНЗ</w:t>
      </w:r>
      <w:r w:rsidRPr="00FD62B3">
        <w:rPr>
          <w:rFonts w:ascii="Times New Roman" w:hAnsi="Times New Roman"/>
          <w:color w:val="000000"/>
          <w:sz w:val="24"/>
          <w:szCs w:val="24"/>
          <w:lang w:val="uk-UA" w:eastAsia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ПІБ</w:t>
      </w:r>
    </w:p>
    <w:sectPr w:rsidR="00B10D94" w:rsidRPr="00FD62B3" w:rsidSect="002520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A5"/>
    <w:multiLevelType w:val="hybridMultilevel"/>
    <w:tmpl w:val="4A6E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E7E"/>
    <w:rsid w:val="0011534E"/>
    <w:rsid w:val="00135DB9"/>
    <w:rsid w:val="00252007"/>
    <w:rsid w:val="002722D4"/>
    <w:rsid w:val="003158B1"/>
    <w:rsid w:val="00332341"/>
    <w:rsid w:val="00392D8B"/>
    <w:rsid w:val="004E156C"/>
    <w:rsid w:val="00510727"/>
    <w:rsid w:val="00537E42"/>
    <w:rsid w:val="005D5685"/>
    <w:rsid w:val="00612A9D"/>
    <w:rsid w:val="00667E7E"/>
    <w:rsid w:val="006763ED"/>
    <w:rsid w:val="006A25DC"/>
    <w:rsid w:val="006E3F12"/>
    <w:rsid w:val="006E4445"/>
    <w:rsid w:val="006F5381"/>
    <w:rsid w:val="008B6682"/>
    <w:rsid w:val="009256CA"/>
    <w:rsid w:val="00996CC7"/>
    <w:rsid w:val="00A13D91"/>
    <w:rsid w:val="00A17DE5"/>
    <w:rsid w:val="00B10D94"/>
    <w:rsid w:val="00B864C7"/>
    <w:rsid w:val="00C415B8"/>
    <w:rsid w:val="00D064E7"/>
    <w:rsid w:val="00E029B6"/>
    <w:rsid w:val="00E03424"/>
    <w:rsid w:val="00E15E5D"/>
    <w:rsid w:val="00E90DAA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D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E444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E4445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p1">
    <w:name w:val="p1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6E4445"/>
    <w:rPr>
      <w:rFonts w:cs="Times New Roman"/>
    </w:rPr>
  </w:style>
  <w:style w:type="paragraph" w:customStyle="1" w:styleId="p3">
    <w:name w:val="p3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6E4445"/>
    <w:rPr>
      <w:rFonts w:cs="Times New Roman"/>
    </w:rPr>
  </w:style>
  <w:style w:type="paragraph" w:customStyle="1" w:styleId="p6">
    <w:name w:val="p6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6E4445"/>
    <w:rPr>
      <w:rFonts w:cs="Times New Roman"/>
    </w:rPr>
  </w:style>
  <w:style w:type="paragraph" w:customStyle="1" w:styleId="p15">
    <w:name w:val="p15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6E4445"/>
    <w:rPr>
      <w:rFonts w:cs="Times New Roman"/>
    </w:rPr>
  </w:style>
  <w:style w:type="character" w:customStyle="1" w:styleId="apple-converted-space">
    <w:name w:val="apple-converted-space"/>
    <w:uiPriority w:val="99"/>
    <w:rsid w:val="006E4445"/>
    <w:rPr>
      <w:rFonts w:cs="Times New Roman"/>
    </w:rPr>
  </w:style>
  <w:style w:type="paragraph" w:customStyle="1" w:styleId="p21">
    <w:name w:val="p21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6E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E444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4">
    <w:name w:val="Основной текст Знак"/>
    <w:link w:val="a3"/>
    <w:uiPriority w:val="99"/>
    <w:locked/>
    <w:rsid w:val="006E4445"/>
    <w:rPr>
      <w:rFonts w:ascii="Times New Roman" w:hAnsi="Times New Roman" w:cs="Times New Roman"/>
      <w:sz w:val="20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6E3F12"/>
    <w:pPr>
      <w:ind w:left="720"/>
      <w:contextualSpacing/>
    </w:pPr>
  </w:style>
  <w:style w:type="paragraph" w:styleId="a6">
    <w:name w:val="No Spacing"/>
    <w:uiPriority w:val="99"/>
    <w:qFormat/>
    <w:rsid w:val="009256CA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D0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64E7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E1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94">
          <w:marLeft w:val="1133"/>
          <w:marRight w:val="1133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5">
          <w:marLeft w:val="1701"/>
          <w:marRight w:val="850"/>
          <w:marTop w:val="963"/>
          <w:marBottom w:val="9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6929-5834-4445-8051-B824433C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cp:lastPrinted>2017-06-08T05:41:00Z</cp:lastPrinted>
  <dcterms:created xsi:type="dcterms:W3CDTF">2016-06-07T05:38:00Z</dcterms:created>
  <dcterms:modified xsi:type="dcterms:W3CDTF">2017-06-08T05:45:00Z</dcterms:modified>
</cp:coreProperties>
</file>